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42F" w:rsidRPr="00E161EF" w:rsidRDefault="00E2142F" w:rsidP="00E2142F">
      <w:pPr>
        <w:spacing w:line="460" w:lineRule="exact"/>
        <w:ind w:left="600" w:hangingChars="150" w:hanging="600"/>
        <w:jc w:val="center"/>
        <w:rPr>
          <w:rFonts w:ascii="標楷體" w:eastAsia="標楷體" w:hAnsi="標楷體"/>
          <w:bCs/>
          <w:color w:val="000000"/>
          <w:sz w:val="40"/>
          <w:szCs w:val="40"/>
        </w:rPr>
      </w:pPr>
      <w:r>
        <w:rPr>
          <w:rFonts w:ascii="標楷體" w:eastAsia="標楷體" w:hAnsi="標楷體" w:hint="eastAsia"/>
          <w:bCs/>
          <w:color w:val="000000"/>
          <w:sz w:val="40"/>
          <w:szCs w:val="40"/>
        </w:rPr>
        <w:t>全民防衛動員準備法</w:t>
      </w:r>
      <w:r w:rsidRPr="00E161EF">
        <w:rPr>
          <w:rFonts w:ascii="標楷體" w:eastAsia="標楷體" w:hAnsi="標楷體" w:hint="eastAsia"/>
          <w:bCs/>
          <w:color w:val="000000"/>
          <w:sz w:val="40"/>
          <w:szCs w:val="40"/>
        </w:rPr>
        <w:t>部分條文修正草案對照表</w:t>
      </w:r>
    </w:p>
    <w:tbl>
      <w:tblPr>
        <w:tblStyle w:val="a3"/>
        <w:tblW w:w="5000" w:type="pct"/>
        <w:tblLook w:val="01E0" w:firstRow="1" w:lastRow="1" w:firstColumn="1" w:lastColumn="1" w:noHBand="0" w:noVBand="0"/>
      </w:tblPr>
      <w:tblGrid>
        <w:gridCol w:w="3003"/>
        <w:gridCol w:w="2917"/>
        <w:gridCol w:w="3083"/>
      </w:tblGrid>
      <w:tr w:rsidR="00E2142F" w:rsidRPr="00E161EF" w:rsidTr="00402AFE">
        <w:tc>
          <w:tcPr>
            <w:tcW w:w="1668" w:type="pct"/>
            <w:tcBorders>
              <w:top w:val="single" w:sz="4" w:space="0" w:color="auto"/>
              <w:left w:val="single" w:sz="4" w:space="0" w:color="auto"/>
              <w:bottom w:val="single" w:sz="4" w:space="0" w:color="auto"/>
              <w:right w:val="single" w:sz="4" w:space="0" w:color="auto"/>
            </w:tcBorders>
          </w:tcPr>
          <w:p w:rsidR="00E2142F" w:rsidRPr="006741FF" w:rsidRDefault="00E2142F" w:rsidP="00813BFC">
            <w:pPr>
              <w:pStyle w:val="HTML"/>
              <w:ind w:left="240" w:hangingChars="100" w:hanging="240"/>
              <w:jc w:val="distribute"/>
              <w:rPr>
                <w:rFonts w:ascii="標楷體" w:eastAsia="標楷體" w:hAnsi="標楷體"/>
                <w:color w:val="000000"/>
                <w:sz w:val="24"/>
                <w:szCs w:val="24"/>
              </w:rPr>
            </w:pPr>
            <w:r w:rsidRPr="006741FF">
              <w:rPr>
                <w:rFonts w:ascii="標楷體" w:eastAsia="標楷體" w:hAnsi="標楷體" w:hint="eastAsia"/>
                <w:color w:val="000000"/>
                <w:sz w:val="24"/>
                <w:szCs w:val="24"/>
              </w:rPr>
              <w:t>修正條文</w:t>
            </w:r>
          </w:p>
        </w:tc>
        <w:tc>
          <w:tcPr>
            <w:tcW w:w="1620" w:type="pct"/>
            <w:tcBorders>
              <w:top w:val="single" w:sz="4" w:space="0" w:color="auto"/>
              <w:left w:val="single" w:sz="4" w:space="0" w:color="auto"/>
              <w:bottom w:val="single" w:sz="4" w:space="0" w:color="auto"/>
              <w:right w:val="single" w:sz="4" w:space="0" w:color="auto"/>
            </w:tcBorders>
          </w:tcPr>
          <w:p w:rsidR="00E2142F" w:rsidRPr="006741FF" w:rsidRDefault="00E2142F" w:rsidP="00813BFC">
            <w:pPr>
              <w:pStyle w:val="HTML"/>
              <w:ind w:left="240" w:hangingChars="100" w:hanging="240"/>
              <w:jc w:val="distribute"/>
              <w:rPr>
                <w:rFonts w:ascii="標楷體" w:eastAsia="標楷體" w:hAnsi="標楷體"/>
                <w:color w:val="000000"/>
                <w:sz w:val="24"/>
                <w:szCs w:val="24"/>
              </w:rPr>
            </w:pPr>
            <w:r w:rsidRPr="006741FF">
              <w:rPr>
                <w:rFonts w:ascii="標楷體" w:eastAsia="標楷體" w:hAnsi="標楷體" w:hint="eastAsia"/>
                <w:color w:val="000000"/>
                <w:sz w:val="24"/>
                <w:szCs w:val="24"/>
              </w:rPr>
              <w:t>現行條文</w:t>
            </w:r>
          </w:p>
        </w:tc>
        <w:tc>
          <w:tcPr>
            <w:tcW w:w="1712" w:type="pct"/>
            <w:tcBorders>
              <w:top w:val="single" w:sz="4" w:space="0" w:color="auto"/>
              <w:left w:val="single" w:sz="4" w:space="0" w:color="auto"/>
              <w:bottom w:val="single" w:sz="4" w:space="0" w:color="auto"/>
              <w:right w:val="single" w:sz="4" w:space="0" w:color="auto"/>
            </w:tcBorders>
          </w:tcPr>
          <w:p w:rsidR="00E2142F" w:rsidRPr="006741FF" w:rsidRDefault="00E2142F" w:rsidP="00813BFC">
            <w:pPr>
              <w:pStyle w:val="HTML"/>
              <w:ind w:left="240" w:hangingChars="100" w:hanging="240"/>
              <w:jc w:val="distribute"/>
              <w:rPr>
                <w:rFonts w:ascii="標楷體" w:eastAsia="標楷體" w:hAnsi="標楷體"/>
                <w:color w:val="000000"/>
                <w:sz w:val="24"/>
                <w:szCs w:val="24"/>
              </w:rPr>
            </w:pPr>
            <w:r w:rsidRPr="006741FF">
              <w:rPr>
                <w:rFonts w:ascii="標楷體" w:eastAsia="標楷體" w:hAnsi="標楷體" w:hint="eastAsia"/>
                <w:color w:val="000000"/>
                <w:sz w:val="24"/>
                <w:szCs w:val="24"/>
              </w:rPr>
              <w:t>說明</w:t>
            </w:r>
          </w:p>
        </w:tc>
      </w:tr>
      <w:tr w:rsidR="002B1442" w:rsidRPr="00E161EF" w:rsidTr="001C2110">
        <w:trPr>
          <w:trHeight w:val="472"/>
        </w:trPr>
        <w:tc>
          <w:tcPr>
            <w:tcW w:w="1668" w:type="pct"/>
            <w:tcBorders>
              <w:top w:val="single" w:sz="4" w:space="0" w:color="auto"/>
              <w:left w:val="single" w:sz="4" w:space="0" w:color="auto"/>
              <w:bottom w:val="single" w:sz="4" w:space="0" w:color="auto"/>
              <w:right w:val="single" w:sz="4" w:space="0" w:color="auto"/>
            </w:tcBorders>
          </w:tcPr>
          <w:p w:rsidR="002B1442" w:rsidRPr="004A7814" w:rsidRDefault="002B1442" w:rsidP="007F1000">
            <w:pPr>
              <w:tabs>
                <w:tab w:val="left" w:pos="541"/>
              </w:tabs>
              <w:ind w:left="208" w:hanging="208"/>
              <w:jc w:val="both"/>
              <w:rPr>
                <w:rFonts w:ascii="標楷體" w:eastAsia="標楷體" w:hAnsi="標楷體"/>
                <w:bCs/>
                <w:color w:val="000000"/>
                <w:sz w:val="24"/>
              </w:rPr>
            </w:pPr>
            <w:r w:rsidRPr="004A7814">
              <w:rPr>
                <w:rFonts w:ascii="標楷體" w:eastAsia="標楷體" w:hAnsi="標楷體" w:hint="eastAsia"/>
                <w:bCs/>
                <w:color w:val="000000"/>
                <w:sz w:val="24"/>
              </w:rPr>
              <w:t>第</w:t>
            </w:r>
            <w:r>
              <w:rPr>
                <w:rFonts w:ascii="標楷體" w:eastAsia="標楷體" w:hAnsi="標楷體" w:hint="eastAsia"/>
                <w:bCs/>
                <w:color w:val="000000"/>
                <w:sz w:val="24"/>
              </w:rPr>
              <w:t>六</w:t>
            </w:r>
            <w:r w:rsidRPr="004A7814">
              <w:rPr>
                <w:rFonts w:ascii="標楷體" w:eastAsia="標楷體" w:hAnsi="標楷體" w:hint="eastAsia"/>
                <w:bCs/>
                <w:color w:val="000000"/>
                <w:sz w:val="24"/>
              </w:rPr>
              <w:t>條  動員計畫區分為動員準備綱領、動員準備方案、動員準備分類計畫</w:t>
            </w:r>
            <w:r>
              <w:rPr>
                <w:rFonts w:ascii="標楷體" w:eastAsia="標楷體" w:hAnsi="標楷體" w:hint="eastAsia"/>
                <w:bCs/>
                <w:color w:val="000000"/>
                <w:sz w:val="24"/>
              </w:rPr>
              <w:t>、</w:t>
            </w:r>
            <w:r w:rsidRPr="00D72632">
              <w:rPr>
                <w:rFonts w:ascii="標楷體" w:eastAsia="標楷體" w:hAnsi="標楷體" w:hint="eastAsia"/>
                <w:b/>
                <w:bCs/>
                <w:color w:val="0070C0"/>
                <w:sz w:val="24"/>
                <w:u w:val="single"/>
              </w:rPr>
              <w:t>動員準備執行計畫</w:t>
            </w:r>
            <w:r w:rsidRPr="004A7814">
              <w:rPr>
                <w:rFonts w:ascii="標楷體" w:eastAsia="標楷體" w:hAnsi="標楷體" w:hint="eastAsia"/>
                <w:bCs/>
                <w:color w:val="000000"/>
                <w:sz w:val="24"/>
              </w:rPr>
              <w:t>，其內容如下：</w:t>
            </w:r>
          </w:p>
          <w:p w:rsidR="002B1442" w:rsidRDefault="002B1442" w:rsidP="007F1000">
            <w:pPr>
              <w:ind w:leftChars="107" w:left="677" w:hangingChars="175" w:hanging="420"/>
              <w:jc w:val="both"/>
              <w:rPr>
                <w:rFonts w:ascii="標楷體" w:eastAsia="標楷體" w:hAnsi="標楷體"/>
                <w:bCs/>
                <w:color w:val="000000"/>
                <w:sz w:val="24"/>
              </w:rPr>
            </w:pPr>
            <w:r w:rsidRPr="004A7814">
              <w:rPr>
                <w:rFonts w:ascii="標楷體" w:eastAsia="標楷體" w:hAnsi="標楷體" w:hint="eastAsia"/>
                <w:bCs/>
                <w:color w:val="000000"/>
                <w:sz w:val="24"/>
              </w:rPr>
              <w:t>一、動員準備綱領：以國防戰略目標為指導原則，配合國軍全般戰略構想，統籌策劃全國人力、物力、財力及科技等動員能量，以備平時支援災害防救，戰時支援軍事作戰，及兼顧民生需求。</w:t>
            </w:r>
          </w:p>
          <w:p w:rsidR="002B1442" w:rsidRDefault="002B1442" w:rsidP="00C6755B">
            <w:pPr>
              <w:ind w:leftChars="107" w:left="677" w:hangingChars="175" w:hanging="420"/>
              <w:jc w:val="both"/>
              <w:rPr>
                <w:rFonts w:ascii="標楷體" w:eastAsia="標楷體" w:hAnsi="標楷體"/>
                <w:bCs/>
                <w:color w:val="000000"/>
                <w:sz w:val="24"/>
              </w:rPr>
            </w:pPr>
            <w:r w:rsidRPr="004A7814">
              <w:rPr>
                <w:rFonts w:ascii="標楷體" w:eastAsia="標楷體" w:hAnsi="標楷體" w:hint="eastAsia"/>
                <w:bCs/>
                <w:color w:val="000000"/>
                <w:sz w:val="24"/>
              </w:rPr>
              <w:t>二、動員準備方案：針對各種動員特性，結合各該機關之施政計畫，依動員準備綱領之規劃，確定年度主要需求項目，實施統籌分配，以律定各分類計畫應行規範事項。</w:t>
            </w:r>
          </w:p>
          <w:p w:rsidR="002B1442" w:rsidRDefault="002B1442" w:rsidP="00C6755B">
            <w:pPr>
              <w:ind w:leftChars="107" w:left="677" w:hangingChars="175" w:hanging="420"/>
              <w:jc w:val="both"/>
              <w:rPr>
                <w:rFonts w:ascii="標楷體" w:eastAsia="標楷體" w:hAnsi="標楷體"/>
                <w:bCs/>
                <w:color w:val="000000"/>
                <w:sz w:val="24"/>
              </w:rPr>
            </w:pPr>
            <w:r w:rsidRPr="004A7814">
              <w:rPr>
                <w:rFonts w:ascii="標楷體" w:eastAsia="標楷體" w:hAnsi="標楷體" w:hint="eastAsia"/>
                <w:bCs/>
                <w:color w:val="000000"/>
                <w:sz w:val="24"/>
              </w:rPr>
              <w:t>三、動員準備分類計畫：依據動員準備方案，確定各機關實施作業範圍與預期配合達成目標，以適應動員實施階段需要。</w:t>
            </w:r>
          </w:p>
          <w:p w:rsidR="002B1442" w:rsidRPr="00D72632" w:rsidRDefault="002B1442" w:rsidP="00C6755B">
            <w:pPr>
              <w:ind w:leftChars="107" w:left="677" w:hangingChars="175" w:hanging="420"/>
              <w:jc w:val="both"/>
              <w:rPr>
                <w:rFonts w:ascii="標楷體" w:eastAsia="標楷體" w:hAnsi="標楷體"/>
                <w:bCs/>
                <w:color w:val="000000"/>
                <w:u w:val="single"/>
              </w:rPr>
            </w:pPr>
            <w:r w:rsidRPr="00D72632">
              <w:rPr>
                <w:rFonts w:ascii="標楷體" w:eastAsia="標楷體" w:hAnsi="標楷體" w:hint="eastAsia"/>
                <w:bCs/>
                <w:color w:val="0070C0"/>
                <w:sz w:val="24"/>
                <w:u w:val="single"/>
              </w:rPr>
              <w:t>四、</w:t>
            </w:r>
            <w:r w:rsidRPr="00B97986">
              <w:rPr>
                <w:rFonts w:ascii="標楷體" w:eastAsia="標楷體" w:hAnsi="標楷體" w:hint="eastAsia"/>
                <w:bCs/>
                <w:color w:val="0070C0"/>
                <w:sz w:val="24"/>
                <w:u w:val="single"/>
              </w:rPr>
              <w:t>動員準備執行計畫：依據動員準備分類計畫，確定直轄市、縣(市)政府</w:t>
            </w:r>
            <w:r w:rsidRPr="004C6498">
              <w:rPr>
                <w:rFonts w:ascii="標楷體" w:eastAsia="標楷體" w:hAnsi="標楷體" w:hint="eastAsia"/>
                <w:bCs/>
                <w:color w:val="0070C0"/>
                <w:sz w:val="24"/>
                <w:u w:val="single"/>
              </w:rPr>
              <w:t>應規範緊急危難及備戰資源轉供</w:t>
            </w:r>
            <w:r>
              <w:rPr>
                <w:rFonts w:ascii="標楷體" w:eastAsia="標楷體" w:hAnsi="標楷體" w:hint="eastAsia"/>
                <w:bCs/>
                <w:color w:val="0070C0"/>
                <w:sz w:val="24"/>
                <w:u w:val="single"/>
              </w:rPr>
              <w:t>應變等措施</w:t>
            </w:r>
            <w:r w:rsidRPr="00D72632">
              <w:rPr>
                <w:rFonts w:ascii="標楷體" w:eastAsia="標楷體" w:hAnsi="標楷體" w:hint="eastAsia"/>
                <w:bCs/>
                <w:color w:val="0070C0"/>
                <w:sz w:val="24"/>
                <w:u w:val="single"/>
              </w:rPr>
              <w:t>。</w:t>
            </w:r>
          </w:p>
        </w:tc>
        <w:tc>
          <w:tcPr>
            <w:tcW w:w="1620" w:type="pct"/>
            <w:tcBorders>
              <w:top w:val="single" w:sz="4" w:space="0" w:color="auto"/>
              <w:left w:val="single" w:sz="4" w:space="0" w:color="auto"/>
              <w:bottom w:val="single" w:sz="4" w:space="0" w:color="auto"/>
              <w:right w:val="single" w:sz="4" w:space="0" w:color="auto"/>
            </w:tcBorders>
          </w:tcPr>
          <w:p w:rsidR="002B1442" w:rsidRPr="004A7814" w:rsidRDefault="002B1442" w:rsidP="007F1000">
            <w:pPr>
              <w:tabs>
                <w:tab w:val="left" w:pos="541"/>
              </w:tabs>
              <w:ind w:leftChars="-10" w:left="208" w:hanging="232"/>
              <w:jc w:val="both"/>
              <w:rPr>
                <w:rFonts w:ascii="標楷體" w:eastAsia="標楷體" w:hAnsi="標楷體"/>
                <w:bCs/>
                <w:color w:val="000000"/>
                <w:sz w:val="24"/>
              </w:rPr>
            </w:pPr>
            <w:r w:rsidRPr="004A7814">
              <w:rPr>
                <w:rFonts w:ascii="標楷體" w:eastAsia="標楷體" w:hAnsi="標楷體" w:hint="eastAsia"/>
                <w:bCs/>
                <w:color w:val="000000"/>
                <w:sz w:val="24"/>
              </w:rPr>
              <w:t>第</w:t>
            </w:r>
            <w:r>
              <w:rPr>
                <w:rFonts w:ascii="標楷體" w:eastAsia="標楷體" w:hAnsi="標楷體" w:hint="eastAsia"/>
                <w:bCs/>
                <w:color w:val="000000"/>
                <w:sz w:val="24"/>
              </w:rPr>
              <w:t>六</w:t>
            </w:r>
            <w:r w:rsidRPr="004A7814">
              <w:rPr>
                <w:rFonts w:ascii="標楷體" w:eastAsia="標楷體" w:hAnsi="標楷體" w:hint="eastAsia"/>
                <w:bCs/>
                <w:color w:val="000000"/>
                <w:sz w:val="24"/>
              </w:rPr>
              <w:t>條  動員計畫區分為動員準備綱領、動員準備方案、動員準備分類計畫，其內容如下：</w:t>
            </w:r>
          </w:p>
          <w:p w:rsidR="002B1442" w:rsidRDefault="002B1442" w:rsidP="007F1000">
            <w:pPr>
              <w:ind w:leftChars="107" w:left="677" w:hangingChars="175" w:hanging="420"/>
              <w:jc w:val="both"/>
              <w:rPr>
                <w:rFonts w:ascii="標楷體" w:eastAsia="標楷體" w:hAnsi="標楷體"/>
                <w:bCs/>
                <w:color w:val="000000"/>
                <w:sz w:val="24"/>
              </w:rPr>
            </w:pPr>
            <w:r w:rsidRPr="004A7814">
              <w:rPr>
                <w:rFonts w:ascii="標楷體" w:eastAsia="標楷體" w:hAnsi="標楷體" w:hint="eastAsia"/>
                <w:bCs/>
                <w:color w:val="000000"/>
                <w:sz w:val="24"/>
              </w:rPr>
              <w:t>一、動員準備綱領：以國防戰略目標為指導原則，配合國軍全般戰略構想，統籌策劃全國人力、物力、財力及科技等動員能量，以備平時支援災害防救，戰時支援軍事作戰，及兼顧民生需求。</w:t>
            </w:r>
          </w:p>
          <w:p w:rsidR="002B1442" w:rsidRDefault="002B1442" w:rsidP="007F1000">
            <w:pPr>
              <w:ind w:leftChars="107" w:left="677" w:hangingChars="175" w:hanging="420"/>
              <w:jc w:val="both"/>
              <w:rPr>
                <w:rFonts w:ascii="標楷體" w:eastAsia="標楷體" w:hAnsi="標楷體"/>
                <w:bCs/>
                <w:color w:val="000000"/>
                <w:sz w:val="24"/>
              </w:rPr>
            </w:pPr>
            <w:r w:rsidRPr="004A7814">
              <w:rPr>
                <w:rFonts w:ascii="標楷體" w:eastAsia="標楷體" w:hAnsi="標楷體" w:hint="eastAsia"/>
                <w:bCs/>
                <w:color w:val="000000"/>
                <w:sz w:val="24"/>
              </w:rPr>
              <w:t>二、動員準備方案：針對各種動員特性，結合各該機關之施政計畫，依動員準備綱領之規劃，確定年度主要需求項目，實施統籌分配，以律定各分類計畫應行規範事項。</w:t>
            </w:r>
          </w:p>
          <w:p w:rsidR="002B1442" w:rsidRPr="006741FF" w:rsidRDefault="002B1442" w:rsidP="007F1000">
            <w:pPr>
              <w:ind w:leftChars="49" w:left="677" w:hangingChars="233" w:hanging="559"/>
              <w:jc w:val="both"/>
              <w:rPr>
                <w:rFonts w:ascii="標楷體" w:eastAsia="標楷體" w:hAnsi="標楷體"/>
                <w:bCs/>
                <w:color w:val="000000"/>
              </w:rPr>
            </w:pPr>
            <w:r w:rsidRPr="004A7814">
              <w:rPr>
                <w:rFonts w:ascii="標楷體" w:eastAsia="標楷體" w:hAnsi="標楷體" w:hint="eastAsia"/>
                <w:bCs/>
                <w:color w:val="000000"/>
                <w:sz w:val="24"/>
              </w:rPr>
              <w:t>三、動員準備分類計畫：依據動員準備方案，確定各機關實施作業範圍與預期配合達成目標，以適應動員實施階段需要。</w:t>
            </w:r>
          </w:p>
        </w:tc>
        <w:tc>
          <w:tcPr>
            <w:tcW w:w="1712" w:type="pct"/>
            <w:tcBorders>
              <w:top w:val="single" w:sz="4" w:space="0" w:color="auto"/>
              <w:left w:val="single" w:sz="4" w:space="0" w:color="auto"/>
              <w:bottom w:val="single" w:sz="4" w:space="0" w:color="auto"/>
              <w:right w:val="single" w:sz="4" w:space="0" w:color="auto"/>
            </w:tcBorders>
          </w:tcPr>
          <w:p w:rsidR="002B1442" w:rsidRPr="00676DC2" w:rsidRDefault="002B1442" w:rsidP="00E15B72">
            <w:pPr>
              <w:ind w:left="34" w:hangingChars="14" w:hanging="34"/>
              <w:jc w:val="both"/>
              <w:rPr>
                <w:rFonts w:ascii="標楷體" w:eastAsia="標楷體" w:hAnsi="標楷體"/>
                <w:bCs/>
                <w:color w:val="000000"/>
                <w:sz w:val="24"/>
              </w:rPr>
            </w:pPr>
            <w:r w:rsidRPr="00676DC2">
              <w:rPr>
                <w:rFonts w:ascii="標楷體" w:eastAsia="標楷體" w:hAnsi="標楷體" w:hint="eastAsia"/>
                <w:bCs/>
                <w:color w:val="000000" w:themeColor="text1"/>
                <w:sz w:val="24"/>
              </w:rPr>
              <w:t>依本法</w:t>
            </w:r>
            <w:r w:rsidR="00E07B73" w:rsidRPr="00676DC2">
              <w:rPr>
                <w:rFonts w:ascii="標楷體" w:eastAsia="標楷體" w:hAnsi="標楷體" w:hint="eastAsia"/>
                <w:bCs/>
                <w:color w:val="000000" w:themeColor="text1"/>
                <w:sz w:val="24"/>
              </w:rPr>
              <w:t>第十二條</w:t>
            </w:r>
            <w:r w:rsidRPr="00676DC2">
              <w:rPr>
                <w:rFonts w:ascii="標楷體" w:eastAsia="標楷體" w:hAnsi="標楷體" w:hint="eastAsia"/>
                <w:bCs/>
                <w:color w:val="000000" w:themeColor="text1"/>
                <w:sz w:val="24"/>
              </w:rPr>
              <w:t>規定，</w:t>
            </w:r>
            <w:r w:rsidR="00E07B73" w:rsidRPr="00676DC2">
              <w:rPr>
                <w:rFonts w:ascii="標楷體" w:eastAsia="標楷體" w:hAnsi="標楷體" w:hint="eastAsia"/>
                <w:bCs/>
                <w:color w:val="000000" w:themeColor="text1"/>
                <w:sz w:val="24"/>
              </w:rPr>
              <w:t>直轄市、縣（市）政府動員準備業務會報動員，應依據動員準備分類計畫，策定其執行計畫。</w:t>
            </w:r>
            <w:r w:rsidR="0024352B" w:rsidRPr="00676DC2">
              <w:rPr>
                <w:rFonts w:ascii="標楷體" w:eastAsia="標楷體" w:hAnsi="標楷體" w:hint="eastAsia"/>
                <w:bCs/>
                <w:color w:val="000000" w:themeColor="text1"/>
                <w:sz w:val="24"/>
              </w:rPr>
              <w:t>因</w:t>
            </w:r>
            <w:r w:rsidR="00E07B73" w:rsidRPr="00676DC2">
              <w:rPr>
                <w:rFonts w:ascii="標楷體" w:eastAsia="標楷體" w:hAnsi="標楷體" w:hint="eastAsia"/>
                <w:bCs/>
                <w:color w:val="000000" w:themeColor="text1"/>
                <w:sz w:val="24"/>
              </w:rPr>
              <w:t>本條僅將動員</w:t>
            </w:r>
            <w:r w:rsidRPr="00676DC2">
              <w:rPr>
                <w:rFonts w:ascii="標楷體" w:eastAsia="標楷體" w:hAnsi="標楷體" w:hint="eastAsia"/>
                <w:bCs/>
                <w:color w:val="000000" w:themeColor="text1"/>
                <w:sz w:val="24"/>
              </w:rPr>
              <w:t>計畫</w:t>
            </w:r>
            <w:r w:rsidR="00E07B73" w:rsidRPr="00676DC2">
              <w:rPr>
                <w:rFonts w:ascii="標楷體" w:eastAsia="標楷體" w:hAnsi="標楷體" w:hint="eastAsia"/>
                <w:bCs/>
                <w:color w:val="000000" w:themeColor="text1"/>
                <w:sz w:val="24"/>
              </w:rPr>
              <w:t>區分為</w:t>
            </w:r>
            <w:r w:rsidRPr="00676DC2">
              <w:rPr>
                <w:rFonts w:ascii="標楷體" w:eastAsia="標楷體" w:hAnsi="標楷體" w:hint="eastAsia"/>
                <w:bCs/>
                <w:color w:val="000000" w:themeColor="text1"/>
                <w:sz w:val="24"/>
              </w:rPr>
              <w:t>綱領、方案、</w:t>
            </w:r>
            <w:r w:rsidR="00E07B73" w:rsidRPr="00676DC2">
              <w:rPr>
                <w:rFonts w:ascii="標楷體" w:eastAsia="標楷體" w:hAnsi="標楷體" w:hint="eastAsia"/>
                <w:bCs/>
                <w:color w:val="000000" w:themeColor="text1"/>
                <w:sz w:val="24"/>
              </w:rPr>
              <w:t>分類</w:t>
            </w:r>
            <w:r w:rsidRPr="00676DC2">
              <w:rPr>
                <w:rFonts w:ascii="標楷體" w:eastAsia="標楷體" w:hAnsi="標楷體" w:hint="eastAsia"/>
                <w:bCs/>
                <w:color w:val="000000" w:themeColor="text1"/>
                <w:sz w:val="24"/>
              </w:rPr>
              <w:t>計畫</w:t>
            </w:r>
            <w:r w:rsidR="00E07B73" w:rsidRPr="00676DC2">
              <w:rPr>
                <w:rFonts w:ascii="標楷體" w:eastAsia="標楷體" w:hAnsi="標楷體" w:hint="eastAsia"/>
                <w:bCs/>
                <w:color w:val="000000" w:themeColor="text1"/>
                <w:sz w:val="24"/>
              </w:rPr>
              <w:t>，</w:t>
            </w:r>
            <w:r w:rsidR="0024352B" w:rsidRPr="00676DC2">
              <w:rPr>
                <w:rFonts w:ascii="標楷體" w:eastAsia="標楷體" w:hAnsi="標楷體" w:hint="eastAsia"/>
                <w:bCs/>
                <w:color w:val="000000" w:themeColor="text1"/>
                <w:sz w:val="24"/>
              </w:rPr>
              <w:t>為定明其範圍尚包含</w:t>
            </w:r>
            <w:r w:rsidR="00AF5A9F" w:rsidRPr="00676DC2">
              <w:rPr>
                <w:rFonts w:ascii="標楷體" w:eastAsia="標楷體" w:hAnsi="標楷體" w:hint="eastAsia"/>
                <w:bCs/>
                <w:color w:val="000000" w:themeColor="text1"/>
                <w:sz w:val="24"/>
              </w:rPr>
              <w:t>動員準備</w:t>
            </w:r>
            <w:r w:rsidRPr="00676DC2">
              <w:rPr>
                <w:rFonts w:ascii="標楷體" w:eastAsia="標楷體" w:hAnsi="標楷體" w:hint="eastAsia"/>
                <w:bCs/>
                <w:color w:val="000000" w:themeColor="text1"/>
                <w:sz w:val="24"/>
              </w:rPr>
              <w:t>執行計畫，</w:t>
            </w:r>
            <w:proofErr w:type="gramStart"/>
            <w:r w:rsidRPr="00676DC2">
              <w:rPr>
                <w:rFonts w:ascii="標楷體" w:eastAsia="標楷體" w:hAnsi="標楷體" w:hint="eastAsia"/>
                <w:bCs/>
                <w:color w:val="000000" w:themeColor="text1"/>
                <w:sz w:val="24"/>
              </w:rPr>
              <w:t>爰</w:t>
            </w:r>
            <w:proofErr w:type="gramEnd"/>
            <w:r w:rsidR="0024352B" w:rsidRPr="00676DC2">
              <w:rPr>
                <w:rFonts w:ascii="標楷體" w:eastAsia="標楷體" w:hAnsi="標楷體" w:hint="eastAsia"/>
                <w:bCs/>
                <w:color w:val="000000" w:themeColor="text1"/>
                <w:sz w:val="24"/>
              </w:rPr>
              <w:t>修正序文及</w:t>
            </w:r>
            <w:r w:rsidRPr="00676DC2">
              <w:rPr>
                <w:rFonts w:ascii="標楷體" w:eastAsia="標楷體" w:hAnsi="標楷體" w:hint="eastAsia"/>
                <w:bCs/>
                <w:color w:val="000000" w:themeColor="text1"/>
                <w:sz w:val="24"/>
              </w:rPr>
              <w:t>增訂第四款規定。</w:t>
            </w:r>
          </w:p>
        </w:tc>
      </w:tr>
      <w:tr w:rsidR="002B1442" w:rsidRPr="00E161EF" w:rsidTr="00AE1464">
        <w:trPr>
          <w:trHeight w:val="12182"/>
        </w:trPr>
        <w:tc>
          <w:tcPr>
            <w:tcW w:w="1668" w:type="pct"/>
            <w:tcBorders>
              <w:top w:val="single" w:sz="4" w:space="0" w:color="auto"/>
              <w:left w:val="single" w:sz="4" w:space="0" w:color="auto"/>
              <w:bottom w:val="single" w:sz="4" w:space="0" w:color="auto"/>
              <w:right w:val="single" w:sz="4" w:space="0" w:color="auto"/>
            </w:tcBorders>
          </w:tcPr>
          <w:p w:rsidR="002B1442" w:rsidRPr="006741FF" w:rsidRDefault="002B1442" w:rsidP="007F1000">
            <w:pPr>
              <w:tabs>
                <w:tab w:val="left" w:pos="480"/>
              </w:tabs>
              <w:ind w:left="240" w:hangingChars="100" w:hanging="240"/>
              <w:jc w:val="both"/>
              <w:rPr>
                <w:rFonts w:ascii="標楷體" w:eastAsia="標楷體" w:hAnsi="標楷體"/>
                <w:bCs/>
                <w:color w:val="000000"/>
                <w:sz w:val="24"/>
              </w:rPr>
            </w:pPr>
            <w:r w:rsidRPr="006741FF">
              <w:rPr>
                <w:rFonts w:ascii="標楷體" w:eastAsia="標楷體" w:hAnsi="標楷體" w:hint="eastAsia"/>
                <w:bCs/>
                <w:color w:val="000000"/>
                <w:sz w:val="24"/>
              </w:rPr>
              <w:lastRenderedPageBreak/>
              <w:t>第九條</w:t>
            </w:r>
            <w:r w:rsidR="004C133F">
              <w:rPr>
                <w:rFonts w:ascii="標楷體" w:eastAsia="標楷體" w:hAnsi="標楷體" w:hint="eastAsia"/>
                <w:bCs/>
                <w:color w:val="000000"/>
                <w:sz w:val="24"/>
              </w:rPr>
              <w:t xml:space="preserve">  </w:t>
            </w:r>
            <w:r w:rsidRPr="006741FF">
              <w:rPr>
                <w:rFonts w:ascii="標楷體" w:eastAsia="標楷體" w:hAnsi="標楷體" w:hint="eastAsia"/>
                <w:bCs/>
                <w:color w:val="000000"/>
                <w:sz w:val="24"/>
              </w:rPr>
              <w:t>中央各機關主管之動員準備方案，區分如下：</w:t>
            </w:r>
          </w:p>
          <w:p w:rsidR="002B1442" w:rsidRDefault="002B1442" w:rsidP="007F1000">
            <w:pPr>
              <w:tabs>
                <w:tab w:val="left" w:pos="825"/>
              </w:tabs>
              <w:ind w:leftChars="118" w:left="823" w:hanging="540"/>
              <w:jc w:val="both"/>
              <w:rPr>
                <w:rFonts w:ascii="標楷體" w:eastAsia="標楷體" w:hAnsi="標楷體"/>
                <w:bCs/>
                <w:color w:val="000000"/>
                <w:sz w:val="24"/>
              </w:rPr>
            </w:pPr>
            <w:r w:rsidRPr="006741FF">
              <w:rPr>
                <w:rFonts w:ascii="標楷體" w:eastAsia="標楷體" w:hAnsi="標楷體" w:hint="eastAsia"/>
                <w:bCs/>
                <w:color w:val="000000"/>
                <w:sz w:val="24"/>
              </w:rPr>
              <w:t>一、精神動員準備方案：由教育部主管。</w:t>
            </w:r>
          </w:p>
          <w:p w:rsidR="002B1442" w:rsidRDefault="002B1442" w:rsidP="007F1000">
            <w:pPr>
              <w:tabs>
                <w:tab w:val="left" w:pos="825"/>
              </w:tabs>
              <w:ind w:leftChars="118" w:left="823" w:hanging="540"/>
              <w:jc w:val="both"/>
              <w:rPr>
                <w:rFonts w:ascii="標楷體" w:eastAsia="標楷體" w:hAnsi="標楷體"/>
                <w:bCs/>
                <w:color w:val="000000"/>
                <w:sz w:val="24"/>
              </w:rPr>
            </w:pPr>
            <w:r w:rsidRPr="006741FF">
              <w:rPr>
                <w:rFonts w:ascii="標楷體" w:eastAsia="標楷體" w:hAnsi="標楷體" w:hint="eastAsia"/>
                <w:bCs/>
                <w:color w:val="000000"/>
                <w:sz w:val="24"/>
              </w:rPr>
              <w:t>二、人力動員準備方案：由內政部主管。</w:t>
            </w:r>
          </w:p>
          <w:p w:rsidR="002B1442" w:rsidRDefault="002B1442" w:rsidP="007F1000">
            <w:pPr>
              <w:tabs>
                <w:tab w:val="left" w:pos="825"/>
              </w:tabs>
              <w:ind w:leftChars="118" w:left="823" w:hanging="540"/>
              <w:jc w:val="both"/>
              <w:rPr>
                <w:rFonts w:ascii="標楷體" w:eastAsia="標楷體" w:hAnsi="標楷體"/>
                <w:bCs/>
                <w:color w:val="000000"/>
                <w:sz w:val="24"/>
              </w:rPr>
            </w:pPr>
            <w:r w:rsidRPr="006741FF">
              <w:rPr>
                <w:rFonts w:ascii="標楷體" w:eastAsia="標楷體" w:hAnsi="標楷體" w:hint="eastAsia"/>
                <w:bCs/>
                <w:color w:val="000000"/>
                <w:sz w:val="24"/>
              </w:rPr>
              <w:t>三、物資經濟動員準備方案：由經濟部主管。</w:t>
            </w:r>
          </w:p>
          <w:p w:rsidR="002B1442" w:rsidRDefault="002B1442" w:rsidP="007F1000">
            <w:pPr>
              <w:tabs>
                <w:tab w:val="left" w:pos="825"/>
              </w:tabs>
              <w:ind w:leftChars="118" w:left="823" w:hanging="540"/>
              <w:jc w:val="both"/>
              <w:rPr>
                <w:rFonts w:ascii="標楷體" w:eastAsia="標楷體" w:hAnsi="標楷體"/>
                <w:bCs/>
                <w:color w:val="000000"/>
                <w:sz w:val="24"/>
              </w:rPr>
            </w:pPr>
            <w:r w:rsidRPr="006741FF">
              <w:rPr>
                <w:rFonts w:ascii="標楷體" w:eastAsia="標楷體" w:hAnsi="標楷體" w:hint="eastAsia"/>
                <w:bCs/>
                <w:color w:val="000000"/>
                <w:sz w:val="24"/>
              </w:rPr>
              <w:t>四、財力動員準備方案：由財政部主管。</w:t>
            </w:r>
          </w:p>
          <w:p w:rsidR="002B1442" w:rsidRDefault="002B1442" w:rsidP="007F1000">
            <w:pPr>
              <w:tabs>
                <w:tab w:val="left" w:pos="825"/>
              </w:tabs>
              <w:ind w:leftChars="118" w:left="823" w:hanging="540"/>
              <w:jc w:val="both"/>
              <w:rPr>
                <w:rFonts w:ascii="標楷體" w:eastAsia="標楷體" w:hAnsi="標楷體"/>
                <w:bCs/>
                <w:color w:val="000000"/>
                <w:sz w:val="24"/>
              </w:rPr>
            </w:pPr>
            <w:r w:rsidRPr="006741FF">
              <w:rPr>
                <w:rFonts w:ascii="標楷體" w:eastAsia="標楷體" w:hAnsi="標楷體" w:hint="eastAsia"/>
                <w:bCs/>
                <w:color w:val="000000"/>
                <w:sz w:val="24"/>
              </w:rPr>
              <w:t>五、交通動員準備方案：由交通部主管。</w:t>
            </w:r>
          </w:p>
          <w:p w:rsidR="002B1442" w:rsidRDefault="002B1442" w:rsidP="007F1000">
            <w:pPr>
              <w:tabs>
                <w:tab w:val="left" w:pos="825"/>
              </w:tabs>
              <w:ind w:leftChars="118" w:left="823" w:hanging="540"/>
              <w:jc w:val="both"/>
              <w:rPr>
                <w:rFonts w:ascii="標楷體" w:eastAsia="標楷體" w:hAnsi="標楷體"/>
                <w:bCs/>
                <w:color w:val="000000"/>
                <w:sz w:val="24"/>
              </w:rPr>
            </w:pPr>
            <w:r w:rsidRPr="006741FF">
              <w:rPr>
                <w:rFonts w:ascii="標楷體" w:eastAsia="標楷體" w:hAnsi="標楷體" w:hint="eastAsia"/>
                <w:bCs/>
                <w:color w:val="000000"/>
                <w:sz w:val="24"/>
              </w:rPr>
              <w:t>六、衛生動員準備方案：由</w:t>
            </w:r>
            <w:r w:rsidRPr="008C756A">
              <w:rPr>
                <w:rFonts w:ascii="標楷體" w:eastAsia="標楷體" w:hAnsi="標楷體" w:hint="eastAsia"/>
                <w:b/>
                <w:bCs/>
                <w:color w:val="0070C0"/>
                <w:sz w:val="24"/>
                <w:u w:val="single"/>
              </w:rPr>
              <w:t>衛生福利部</w:t>
            </w:r>
            <w:r w:rsidRPr="006741FF">
              <w:rPr>
                <w:rFonts w:ascii="標楷體" w:eastAsia="標楷體" w:hAnsi="標楷體" w:hint="eastAsia"/>
                <w:bCs/>
                <w:color w:val="000000"/>
                <w:sz w:val="24"/>
              </w:rPr>
              <w:t>主管。</w:t>
            </w:r>
          </w:p>
          <w:p w:rsidR="002B1442" w:rsidRDefault="002B1442" w:rsidP="007F1000">
            <w:pPr>
              <w:tabs>
                <w:tab w:val="left" w:pos="825"/>
              </w:tabs>
              <w:ind w:leftChars="118" w:left="823" w:hanging="540"/>
              <w:jc w:val="both"/>
              <w:rPr>
                <w:rFonts w:ascii="標楷體" w:eastAsia="標楷體" w:hAnsi="標楷體"/>
                <w:bCs/>
                <w:color w:val="000000"/>
                <w:sz w:val="24"/>
              </w:rPr>
            </w:pPr>
            <w:r w:rsidRPr="006741FF">
              <w:rPr>
                <w:rFonts w:ascii="標楷體" w:eastAsia="標楷體" w:hAnsi="標楷體" w:hint="eastAsia"/>
                <w:bCs/>
                <w:color w:val="000000"/>
                <w:sz w:val="24"/>
              </w:rPr>
              <w:t>七、科技動員準備方案：由</w:t>
            </w:r>
            <w:r w:rsidRPr="008C756A">
              <w:rPr>
                <w:rFonts w:ascii="標楷體" w:eastAsia="標楷體" w:hAnsi="標楷體" w:hint="eastAsia"/>
                <w:b/>
                <w:bCs/>
                <w:color w:val="0070C0"/>
                <w:sz w:val="24"/>
                <w:u w:val="single"/>
              </w:rPr>
              <w:t>科技部</w:t>
            </w:r>
            <w:r w:rsidRPr="006741FF">
              <w:rPr>
                <w:rFonts w:ascii="標楷體" w:eastAsia="標楷體" w:hAnsi="標楷體" w:hint="eastAsia"/>
                <w:bCs/>
                <w:color w:val="000000"/>
                <w:sz w:val="24"/>
              </w:rPr>
              <w:t>主管。</w:t>
            </w:r>
          </w:p>
          <w:p w:rsidR="002B1442" w:rsidRPr="006741FF" w:rsidRDefault="002B1442" w:rsidP="007F1000">
            <w:pPr>
              <w:tabs>
                <w:tab w:val="left" w:pos="825"/>
              </w:tabs>
              <w:ind w:leftChars="118" w:left="823" w:hanging="540"/>
              <w:jc w:val="both"/>
              <w:rPr>
                <w:rFonts w:ascii="標楷體" w:eastAsia="標楷體" w:hAnsi="標楷體"/>
                <w:bCs/>
                <w:color w:val="000000"/>
                <w:sz w:val="24"/>
                <w:u w:val="single"/>
              </w:rPr>
            </w:pPr>
            <w:r w:rsidRPr="006741FF">
              <w:rPr>
                <w:rFonts w:ascii="標楷體" w:eastAsia="標楷體" w:hAnsi="標楷體" w:hint="eastAsia"/>
                <w:bCs/>
                <w:color w:val="000000"/>
                <w:sz w:val="24"/>
              </w:rPr>
              <w:t>八、軍事動員準備方案：由國防部主管。</w:t>
            </w:r>
          </w:p>
        </w:tc>
        <w:tc>
          <w:tcPr>
            <w:tcW w:w="1620" w:type="pct"/>
            <w:tcBorders>
              <w:top w:val="single" w:sz="4" w:space="0" w:color="auto"/>
              <w:left w:val="single" w:sz="4" w:space="0" w:color="auto"/>
              <w:bottom w:val="single" w:sz="4" w:space="0" w:color="auto"/>
              <w:right w:val="single" w:sz="4" w:space="0" w:color="auto"/>
            </w:tcBorders>
          </w:tcPr>
          <w:p w:rsidR="002B1442" w:rsidRPr="006741FF" w:rsidRDefault="002B1442" w:rsidP="007F1000">
            <w:pPr>
              <w:tabs>
                <w:tab w:val="left" w:pos="480"/>
              </w:tabs>
              <w:ind w:left="240" w:hangingChars="100" w:hanging="240"/>
              <w:jc w:val="both"/>
              <w:rPr>
                <w:rFonts w:ascii="標楷體" w:eastAsia="標楷體" w:hAnsi="標楷體"/>
                <w:bCs/>
                <w:color w:val="000000"/>
                <w:sz w:val="24"/>
              </w:rPr>
            </w:pPr>
            <w:r w:rsidRPr="006741FF">
              <w:rPr>
                <w:rFonts w:ascii="標楷體" w:eastAsia="標楷體" w:hAnsi="標楷體" w:hint="eastAsia"/>
                <w:bCs/>
                <w:color w:val="000000"/>
                <w:sz w:val="24"/>
              </w:rPr>
              <w:t>第九條  中央各機關主管之動員準備方案，區分如下：</w:t>
            </w:r>
          </w:p>
          <w:p w:rsidR="002B1442" w:rsidRDefault="002B1442" w:rsidP="007F1000">
            <w:pPr>
              <w:tabs>
                <w:tab w:val="left" w:pos="683"/>
              </w:tabs>
              <w:ind w:leftChars="107" w:left="823" w:hanging="566"/>
              <w:jc w:val="both"/>
              <w:rPr>
                <w:rFonts w:ascii="標楷體" w:eastAsia="標楷體" w:hAnsi="標楷體"/>
                <w:bCs/>
                <w:color w:val="000000"/>
                <w:sz w:val="24"/>
              </w:rPr>
            </w:pPr>
            <w:r w:rsidRPr="006741FF">
              <w:rPr>
                <w:rFonts w:ascii="標楷體" w:eastAsia="標楷體" w:hAnsi="標楷體" w:hint="eastAsia"/>
                <w:bCs/>
                <w:color w:val="000000"/>
                <w:sz w:val="24"/>
              </w:rPr>
              <w:t>一、精神動員準備方案：由教育部主管。</w:t>
            </w:r>
          </w:p>
          <w:p w:rsidR="002B1442" w:rsidRDefault="002B1442" w:rsidP="007F1000">
            <w:pPr>
              <w:tabs>
                <w:tab w:val="left" w:pos="683"/>
              </w:tabs>
              <w:ind w:leftChars="107" w:left="823" w:hanging="566"/>
              <w:jc w:val="both"/>
              <w:rPr>
                <w:rFonts w:ascii="標楷體" w:eastAsia="標楷體" w:hAnsi="標楷體"/>
                <w:bCs/>
                <w:color w:val="000000"/>
                <w:sz w:val="24"/>
              </w:rPr>
            </w:pPr>
            <w:r w:rsidRPr="006741FF">
              <w:rPr>
                <w:rFonts w:ascii="標楷體" w:eastAsia="標楷體" w:hAnsi="標楷體" w:hint="eastAsia"/>
                <w:bCs/>
                <w:color w:val="000000"/>
                <w:sz w:val="24"/>
              </w:rPr>
              <w:t>二、人力動員準備方案：由內政部主管。</w:t>
            </w:r>
          </w:p>
          <w:p w:rsidR="002B1442" w:rsidRDefault="002B1442" w:rsidP="007F1000">
            <w:pPr>
              <w:tabs>
                <w:tab w:val="left" w:pos="683"/>
              </w:tabs>
              <w:ind w:leftChars="107" w:left="823" w:hanging="566"/>
              <w:jc w:val="both"/>
              <w:rPr>
                <w:rFonts w:ascii="標楷體" w:eastAsia="標楷體" w:hAnsi="標楷體"/>
                <w:bCs/>
                <w:color w:val="000000"/>
                <w:sz w:val="24"/>
              </w:rPr>
            </w:pPr>
            <w:r w:rsidRPr="006741FF">
              <w:rPr>
                <w:rFonts w:ascii="標楷體" w:eastAsia="標楷體" w:hAnsi="標楷體" w:hint="eastAsia"/>
                <w:bCs/>
                <w:color w:val="000000"/>
                <w:sz w:val="24"/>
              </w:rPr>
              <w:t>三、物資經濟動員準備方案：由經濟部主管。</w:t>
            </w:r>
          </w:p>
          <w:p w:rsidR="002B1442" w:rsidRDefault="002B1442" w:rsidP="007F1000">
            <w:pPr>
              <w:tabs>
                <w:tab w:val="left" w:pos="683"/>
              </w:tabs>
              <w:ind w:leftChars="107" w:left="823" w:hanging="566"/>
              <w:jc w:val="both"/>
              <w:rPr>
                <w:rFonts w:ascii="標楷體" w:eastAsia="標楷體" w:hAnsi="標楷體"/>
                <w:bCs/>
                <w:color w:val="000000"/>
                <w:sz w:val="24"/>
              </w:rPr>
            </w:pPr>
            <w:r w:rsidRPr="006741FF">
              <w:rPr>
                <w:rFonts w:ascii="標楷體" w:eastAsia="標楷體" w:hAnsi="標楷體" w:hint="eastAsia"/>
                <w:bCs/>
                <w:color w:val="000000"/>
                <w:sz w:val="24"/>
              </w:rPr>
              <w:t>四、財力動員準備方案：由財政部主管。</w:t>
            </w:r>
          </w:p>
          <w:p w:rsidR="002B1442" w:rsidRDefault="002B1442" w:rsidP="007F1000">
            <w:pPr>
              <w:tabs>
                <w:tab w:val="left" w:pos="683"/>
              </w:tabs>
              <w:ind w:leftChars="107" w:left="823" w:hanging="566"/>
              <w:jc w:val="both"/>
              <w:rPr>
                <w:rFonts w:ascii="標楷體" w:eastAsia="標楷體" w:hAnsi="標楷體"/>
                <w:bCs/>
                <w:color w:val="000000"/>
                <w:sz w:val="24"/>
              </w:rPr>
            </w:pPr>
            <w:r w:rsidRPr="006741FF">
              <w:rPr>
                <w:rFonts w:ascii="標楷體" w:eastAsia="標楷體" w:hAnsi="標楷體" w:hint="eastAsia"/>
                <w:bCs/>
                <w:color w:val="000000"/>
                <w:sz w:val="24"/>
              </w:rPr>
              <w:t>五、交通動員準備方案：由交通部主管。</w:t>
            </w:r>
          </w:p>
          <w:p w:rsidR="002B1442" w:rsidRDefault="002B1442" w:rsidP="007F1000">
            <w:pPr>
              <w:tabs>
                <w:tab w:val="left" w:pos="683"/>
              </w:tabs>
              <w:ind w:leftChars="107" w:left="823" w:hanging="566"/>
              <w:jc w:val="both"/>
              <w:rPr>
                <w:rFonts w:ascii="標楷體" w:eastAsia="標楷體" w:hAnsi="標楷體"/>
                <w:bCs/>
                <w:color w:val="000000"/>
                <w:sz w:val="24"/>
              </w:rPr>
            </w:pPr>
            <w:r w:rsidRPr="006741FF">
              <w:rPr>
                <w:rFonts w:ascii="標楷體" w:eastAsia="標楷體" w:hAnsi="標楷體" w:hint="eastAsia"/>
                <w:bCs/>
                <w:color w:val="000000"/>
                <w:sz w:val="24"/>
              </w:rPr>
              <w:t>六、衛生動員準備方案：由行政院衛生署主管。</w:t>
            </w:r>
          </w:p>
          <w:p w:rsidR="002B1442" w:rsidRDefault="002B1442" w:rsidP="007F1000">
            <w:pPr>
              <w:tabs>
                <w:tab w:val="left" w:pos="683"/>
              </w:tabs>
              <w:ind w:leftChars="107" w:left="823" w:hanging="566"/>
              <w:jc w:val="both"/>
              <w:rPr>
                <w:rFonts w:ascii="標楷體" w:eastAsia="標楷體" w:hAnsi="標楷體"/>
                <w:bCs/>
                <w:color w:val="000000"/>
                <w:sz w:val="24"/>
              </w:rPr>
            </w:pPr>
            <w:r w:rsidRPr="006741FF">
              <w:rPr>
                <w:rFonts w:ascii="標楷體" w:eastAsia="標楷體" w:hAnsi="標楷體" w:hint="eastAsia"/>
                <w:bCs/>
                <w:color w:val="000000"/>
                <w:sz w:val="24"/>
              </w:rPr>
              <w:t>七、科技動員準備方案：由行政院國家科學委員會主管。</w:t>
            </w:r>
          </w:p>
          <w:p w:rsidR="002B1442" w:rsidRPr="00403712" w:rsidRDefault="002B1442" w:rsidP="007F1000">
            <w:pPr>
              <w:tabs>
                <w:tab w:val="left" w:pos="683"/>
              </w:tabs>
              <w:ind w:leftChars="107" w:left="823" w:hanging="566"/>
              <w:jc w:val="both"/>
              <w:rPr>
                <w:rFonts w:ascii="標楷體" w:eastAsia="標楷體" w:hAnsi="標楷體"/>
                <w:bCs/>
                <w:color w:val="000000"/>
                <w:sz w:val="24"/>
              </w:rPr>
            </w:pPr>
            <w:r w:rsidRPr="006741FF">
              <w:rPr>
                <w:rFonts w:ascii="標楷體" w:eastAsia="標楷體" w:hAnsi="標楷體" w:hint="eastAsia"/>
                <w:bCs/>
                <w:color w:val="000000"/>
                <w:sz w:val="24"/>
              </w:rPr>
              <w:t>八、軍事動員準備方案：由國防部主管。</w:t>
            </w:r>
          </w:p>
        </w:tc>
        <w:tc>
          <w:tcPr>
            <w:tcW w:w="1712" w:type="pct"/>
            <w:tcBorders>
              <w:top w:val="single" w:sz="4" w:space="0" w:color="auto"/>
              <w:left w:val="single" w:sz="4" w:space="0" w:color="auto"/>
              <w:bottom w:val="single" w:sz="4" w:space="0" w:color="auto"/>
              <w:right w:val="single" w:sz="4" w:space="0" w:color="auto"/>
            </w:tcBorders>
          </w:tcPr>
          <w:p w:rsidR="002B1442" w:rsidRPr="006741FF" w:rsidRDefault="002B1442" w:rsidP="0011186A">
            <w:pPr>
              <w:ind w:leftChars="14" w:left="34"/>
              <w:jc w:val="both"/>
              <w:rPr>
                <w:rFonts w:ascii="標楷體" w:eastAsia="標楷體" w:hAnsi="標楷體"/>
                <w:bCs/>
                <w:color w:val="000000"/>
                <w:sz w:val="24"/>
              </w:rPr>
            </w:pPr>
            <w:r w:rsidRPr="00225DE4">
              <w:rPr>
                <w:rFonts w:ascii="標楷體" w:eastAsia="標楷體" w:hAnsi="標楷體" w:hint="eastAsia"/>
                <w:bCs/>
                <w:color w:val="000000"/>
                <w:sz w:val="24"/>
              </w:rPr>
              <w:t>配合</w:t>
            </w:r>
            <w:proofErr w:type="gramStart"/>
            <w:r w:rsidR="0011186A">
              <w:rPr>
                <w:rFonts w:ascii="標楷體" w:eastAsia="標楷體" w:hAnsi="標楷體" w:hint="eastAsia"/>
                <w:bCs/>
                <w:color w:val="000000"/>
                <w:sz w:val="24"/>
              </w:rPr>
              <w:t>行政院組改</w:t>
            </w:r>
            <w:proofErr w:type="gramEnd"/>
            <w:r>
              <w:rPr>
                <w:rFonts w:ascii="標楷體" w:eastAsia="標楷體" w:hAnsi="標楷體" w:hint="eastAsia"/>
                <w:bCs/>
                <w:color w:val="000000"/>
                <w:sz w:val="24"/>
              </w:rPr>
              <w:t>，將第六款之「</w:t>
            </w:r>
            <w:r w:rsidRPr="00225DE4">
              <w:rPr>
                <w:rFonts w:ascii="標楷體" w:eastAsia="標楷體" w:hAnsi="標楷體" w:hint="eastAsia"/>
                <w:bCs/>
                <w:color w:val="000000"/>
                <w:sz w:val="24"/>
              </w:rPr>
              <w:t>行政院衛生署</w:t>
            </w:r>
            <w:r>
              <w:rPr>
                <w:rFonts w:ascii="標楷體" w:eastAsia="標楷體" w:hAnsi="標楷體" w:hint="eastAsia"/>
                <w:bCs/>
                <w:color w:val="000000"/>
                <w:sz w:val="24"/>
              </w:rPr>
              <w:t>」修正為</w:t>
            </w:r>
            <w:r w:rsidRPr="00225DE4">
              <w:rPr>
                <w:rFonts w:ascii="標楷體" w:eastAsia="標楷體" w:hAnsi="標楷體" w:hint="eastAsia"/>
                <w:bCs/>
                <w:color w:val="000000"/>
                <w:sz w:val="24"/>
              </w:rPr>
              <w:t>「衛生</w:t>
            </w:r>
            <w:r>
              <w:rPr>
                <w:rFonts w:ascii="標楷體" w:eastAsia="標楷體" w:hAnsi="標楷體" w:hint="eastAsia"/>
                <w:bCs/>
                <w:color w:val="000000"/>
                <w:sz w:val="24"/>
              </w:rPr>
              <w:t>福利部</w:t>
            </w:r>
            <w:r w:rsidRPr="00225DE4">
              <w:rPr>
                <w:rFonts w:ascii="標楷體" w:eastAsia="標楷體" w:hAnsi="標楷體" w:hint="eastAsia"/>
                <w:bCs/>
                <w:color w:val="000000"/>
                <w:sz w:val="24"/>
              </w:rPr>
              <w:t>」</w:t>
            </w:r>
            <w:r>
              <w:rPr>
                <w:rFonts w:ascii="標楷體" w:eastAsia="標楷體" w:hAnsi="標楷體" w:hint="eastAsia"/>
                <w:bCs/>
                <w:color w:val="000000"/>
                <w:sz w:val="24"/>
              </w:rPr>
              <w:t>，第七款之</w:t>
            </w:r>
            <w:r w:rsidRPr="00225DE4">
              <w:rPr>
                <w:rFonts w:ascii="標楷體" w:eastAsia="標楷體" w:hAnsi="標楷體" w:hint="eastAsia"/>
                <w:bCs/>
                <w:color w:val="000000"/>
                <w:sz w:val="24"/>
              </w:rPr>
              <w:t>「行政院</w:t>
            </w:r>
            <w:r>
              <w:rPr>
                <w:rFonts w:ascii="標楷體" w:eastAsia="標楷體" w:hAnsi="標楷體" w:hint="eastAsia"/>
                <w:bCs/>
                <w:color w:val="000000"/>
                <w:sz w:val="24"/>
              </w:rPr>
              <w:t>國家科學委員會</w:t>
            </w:r>
            <w:r w:rsidRPr="00225DE4">
              <w:rPr>
                <w:rFonts w:ascii="標楷體" w:eastAsia="標楷體" w:hAnsi="標楷體" w:hint="eastAsia"/>
                <w:bCs/>
                <w:color w:val="000000"/>
                <w:sz w:val="24"/>
              </w:rPr>
              <w:t>」修正為「</w:t>
            </w:r>
            <w:r>
              <w:rPr>
                <w:rFonts w:ascii="標楷體" w:eastAsia="標楷體" w:hAnsi="標楷體" w:hint="eastAsia"/>
                <w:bCs/>
                <w:color w:val="000000"/>
                <w:sz w:val="24"/>
              </w:rPr>
              <w:t>科技</w:t>
            </w:r>
            <w:r w:rsidRPr="00225DE4">
              <w:rPr>
                <w:rFonts w:ascii="標楷體" w:eastAsia="標楷體" w:hAnsi="標楷體" w:hint="eastAsia"/>
                <w:bCs/>
                <w:color w:val="000000"/>
                <w:sz w:val="24"/>
              </w:rPr>
              <w:t>部」。</w:t>
            </w:r>
          </w:p>
        </w:tc>
      </w:tr>
      <w:tr w:rsidR="002B1442" w:rsidRPr="00E161EF" w:rsidTr="00E44981">
        <w:trPr>
          <w:trHeight w:val="558"/>
        </w:trPr>
        <w:tc>
          <w:tcPr>
            <w:tcW w:w="1668" w:type="pct"/>
            <w:tcBorders>
              <w:top w:val="single" w:sz="4" w:space="0" w:color="auto"/>
              <w:left w:val="single" w:sz="4" w:space="0" w:color="auto"/>
              <w:bottom w:val="single" w:sz="4" w:space="0" w:color="auto"/>
              <w:right w:val="single" w:sz="4" w:space="0" w:color="auto"/>
            </w:tcBorders>
          </w:tcPr>
          <w:p w:rsidR="002B1442" w:rsidRPr="006741FF" w:rsidRDefault="002B1442" w:rsidP="004F2617">
            <w:pPr>
              <w:tabs>
                <w:tab w:val="left" w:pos="480"/>
              </w:tabs>
              <w:ind w:left="240" w:hangingChars="100" w:hanging="240"/>
              <w:jc w:val="both"/>
              <w:rPr>
                <w:rFonts w:ascii="標楷體" w:eastAsia="標楷體" w:hAnsi="標楷體"/>
                <w:bCs/>
                <w:color w:val="000000"/>
                <w:sz w:val="24"/>
              </w:rPr>
            </w:pPr>
            <w:r w:rsidRPr="006741FF">
              <w:rPr>
                <w:rFonts w:ascii="標楷體" w:eastAsia="標楷體" w:hAnsi="標楷體" w:hint="eastAsia"/>
                <w:bCs/>
                <w:color w:val="000000"/>
                <w:sz w:val="24"/>
              </w:rPr>
              <w:t>第十四條 為宣揚全民國防理念，精神動員準備分類計畫主管機關應結合學校教育並透過大眾傳播</w:t>
            </w:r>
            <w:r w:rsidRPr="006741FF">
              <w:rPr>
                <w:rFonts w:ascii="標楷體" w:eastAsia="標楷體" w:hAnsi="標楷體" w:hint="eastAsia"/>
                <w:bCs/>
                <w:color w:val="000000"/>
                <w:sz w:val="24"/>
              </w:rPr>
              <w:lastRenderedPageBreak/>
              <w:t>媒體，培養愛國意志，增進國防知識，堅定參與防衛國家安全之意識。直轄市及縣 (市) 政府並應納入施政項目，配合宣導。</w:t>
            </w:r>
          </w:p>
          <w:p w:rsidR="002B1442" w:rsidRPr="006741FF" w:rsidRDefault="002B1442" w:rsidP="004F2617">
            <w:pPr>
              <w:tabs>
                <w:tab w:val="left" w:pos="480"/>
              </w:tabs>
              <w:ind w:leftChars="83" w:left="199" w:firstLineChars="241" w:firstLine="578"/>
              <w:jc w:val="both"/>
              <w:rPr>
                <w:rFonts w:ascii="標楷體" w:eastAsia="標楷體" w:hAnsi="標楷體"/>
                <w:bCs/>
                <w:color w:val="000000"/>
                <w:sz w:val="24"/>
              </w:rPr>
            </w:pPr>
            <w:r w:rsidRPr="006741FF">
              <w:rPr>
                <w:rFonts w:ascii="標楷體" w:eastAsia="標楷體" w:hAnsi="標楷體" w:hint="eastAsia"/>
                <w:bCs/>
                <w:color w:val="000000"/>
                <w:sz w:val="24"/>
              </w:rPr>
              <w:t>為結合學校教育增進國防知識，教育部應訂定各級學校軍訓課程之相關辦法。</w:t>
            </w:r>
          </w:p>
          <w:p w:rsidR="002B1442" w:rsidRPr="006741FF" w:rsidRDefault="002B1442" w:rsidP="004F2617">
            <w:pPr>
              <w:tabs>
                <w:tab w:val="left" w:pos="480"/>
              </w:tabs>
              <w:ind w:leftChars="83" w:left="199" w:firstLineChars="200" w:firstLine="480"/>
              <w:jc w:val="both"/>
              <w:rPr>
                <w:rFonts w:ascii="標楷體" w:eastAsia="標楷體" w:hAnsi="標楷體"/>
                <w:bCs/>
                <w:color w:val="000000"/>
                <w:sz w:val="24"/>
                <w:u w:val="single"/>
              </w:rPr>
            </w:pPr>
            <w:r w:rsidRPr="006741FF">
              <w:rPr>
                <w:rFonts w:ascii="標楷體" w:eastAsia="標楷體" w:hAnsi="標楷體" w:hint="eastAsia"/>
                <w:bCs/>
                <w:color w:val="000000"/>
                <w:sz w:val="24"/>
              </w:rPr>
              <w:t>針對動員實施階段需求，</w:t>
            </w:r>
            <w:proofErr w:type="gramStart"/>
            <w:r w:rsidRPr="008C756A">
              <w:rPr>
                <w:rFonts w:ascii="標楷體" w:eastAsia="標楷體" w:hAnsi="標楷體" w:hint="eastAsia"/>
                <w:b/>
                <w:bCs/>
                <w:color w:val="0070C0"/>
                <w:sz w:val="24"/>
                <w:u w:val="single"/>
              </w:rPr>
              <w:t>文化部應會同</w:t>
            </w:r>
            <w:proofErr w:type="gramEnd"/>
            <w:r w:rsidRPr="008C756A">
              <w:rPr>
                <w:rFonts w:ascii="標楷體" w:eastAsia="標楷體" w:hAnsi="標楷體" w:hint="eastAsia"/>
                <w:b/>
                <w:bCs/>
                <w:color w:val="0070C0"/>
                <w:sz w:val="24"/>
                <w:u w:val="single"/>
              </w:rPr>
              <w:t>國家通訊傳播委員會</w:t>
            </w:r>
            <w:r w:rsidRPr="006741FF">
              <w:rPr>
                <w:rFonts w:ascii="標楷體" w:eastAsia="標楷體" w:hAnsi="標楷體" w:hint="eastAsia"/>
                <w:bCs/>
                <w:color w:val="000000"/>
                <w:sz w:val="24"/>
              </w:rPr>
              <w:t>訂定動員實施階段大眾傳播事業及從業人員管制辦法。</w:t>
            </w:r>
          </w:p>
        </w:tc>
        <w:tc>
          <w:tcPr>
            <w:tcW w:w="1620" w:type="pct"/>
            <w:tcBorders>
              <w:top w:val="single" w:sz="4" w:space="0" w:color="auto"/>
              <w:left w:val="single" w:sz="4" w:space="0" w:color="auto"/>
              <w:bottom w:val="single" w:sz="4" w:space="0" w:color="auto"/>
              <w:right w:val="single" w:sz="4" w:space="0" w:color="auto"/>
            </w:tcBorders>
          </w:tcPr>
          <w:p w:rsidR="002B1442" w:rsidRPr="006741FF" w:rsidRDefault="002B1442" w:rsidP="004F2617">
            <w:pPr>
              <w:tabs>
                <w:tab w:val="left" w:pos="480"/>
              </w:tabs>
              <w:ind w:left="240" w:hangingChars="100" w:hanging="240"/>
              <w:jc w:val="both"/>
              <w:rPr>
                <w:rFonts w:ascii="標楷體" w:eastAsia="標楷體" w:hAnsi="標楷體"/>
                <w:bCs/>
                <w:color w:val="000000"/>
                <w:sz w:val="24"/>
              </w:rPr>
            </w:pPr>
            <w:r w:rsidRPr="006741FF">
              <w:rPr>
                <w:rFonts w:ascii="標楷體" w:eastAsia="標楷體" w:hAnsi="標楷體" w:hint="eastAsia"/>
                <w:bCs/>
                <w:color w:val="000000"/>
                <w:sz w:val="24"/>
              </w:rPr>
              <w:lastRenderedPageBreak/>
              <w:t>第十四條 為宣揚全民國防理念，精神動員準備分類計畫主管機關應結合學校教育並透過大眾</w:t>
            </w:r>
            <w:r w:rsidRPr="006741FF">
              <w:rPr>
                <w:rFonts w:ascii="標楷體" w:eastAsia="標楷體" w:hAnsi="標楷體" w:hint="eastAsia"/>
                <w:bCs/>
                <w:color w:val="000000"/>
                <w:sz w:val="24"/>
              </w:rPr>
              <w:lastRenderedPageBreak/>
              <w:t>傳播媒體，培養愛國意志，增進國防知識，堅定參與防衛國家安全之意識。直轄市及縣 (市) 政府並應納入施政項目，配合宣導。</w:t>
            </w:r>
          </w:p>
          <w:p w:rsidR="002B1442" w:rsidRPr="006741FF" w:rsidRDefault="002B1442" w:rsidP="004F2617">
            <w:pPr>
              <w:tabs>
                <w:tab w:val="left" w:pos="480"/>
              </w:tabs>
              <w:ind w:leftChars="83" w:left="199" w:firstLineChars="241" w:firstLine="578"/>
              <w:jc w:val="both"/>
              <w:rPr>
                <w:rFonts w:ascii="標楷體" w:eastAsia="標楷體" w:hAnsi="標楷體"/>
                <w:bCs/>
                <w:color w:val="000000"/>
                <w:sz w:val="24"/>
              </w:rPr>
            </w:pPr>
            <w:r w:rsidRPr="006741FF">
              <w:rPr>
                <w:rFonts w:ascii="標楷體" w:eastAsia="標楷體" w:hAnsi="標楷體" w:hint="eastAsia"/>
                <w:bCs/>
                <w:color w:val="000000"/>
                <w:sz w:val="24"/>
              </w:rPr>
              <w:t>為結合學校教育增進國防知識，教育部應訂定各級學校軍訓課程之相關辦法。</w:t>
            </w:r>
          </w:p>
          <w:p w:rsidR="002B1442" w:rsidRPr="006741FF" w:rsidRDefault="002B1442" w:rsidP="004F2617">
            <w:pPr>
              <w:tabs>
                <w:tab w:val="left" w:pos="480"/>
              </w:tabs>
              <w:ind w:leftChars="83" w:left="199" w:firstLineChars="241" w:firstLine="578"/>
              <w:jc w:val="both"/>
              <w:rPr>
                <w:rFonts w:ascii="標楷體" w:eastAsia="標楷體" w:hAnsi="標楷體"/>
                <w:bCs/>
                <w:color w:val="000000"/>
                <w:sz w:val="24"/>
              </w:rPr>
            </w:pPr>
            <w:r w:rsidRPr="006741FF">
              <w:rPr>
                <w:rFonts w:ascii="標楷體" w:eastAsia="標楷體" w:hAnsi="標楷體" w:hint="eastAsia"/>
                <w:bCs/>
                <w:color w:val="000000"/>
                <w:sz w:val="24"/>
              </w:rPr>
              <w:t>針對動員實施階段需求，行政院新聞局應訂定動員實施階段大眾傳播事業及從業人員管制辦法。</w:t>
            </w:r>
          </w:p>
        </w:tc>
        <w:tc>
          <w:tcPr>
            <w:tcW w:w="1712" w:type="pct"/>
            <w:tcBorders>
              <w:top w:val="single" w:sz="4" w:space="0" w:color="auto"/>
              <w:left w:val="single" w:sz="4" w:space="0" w:color="auto"/>
              <w:bottom w:val="single" w:sz="4" w:space="0" w:color="auto"/>
              <w:right w:val="single" w:sz="4" w:space="0" w:color="auto"/>
            </w:tcBorders>
          </w:tcPr>
          <w:p w:rsidR="004C133F" w:rsidRPr="00676DC2" w:rsidRDefault="004C133F" w:rsidP="00A76539">
            <w:pPr>
              <w:ind w:left="458" w:hangingChars="191" w:hanging="458"/>
              <w:jc w:val="both"/>
              <w:rPr>
                <w:rFonts w:ascii="標楷體" w:eastAsia="標楷體" w:hAnsi="標楷體"/>
                <w:bCs/>
                <w:color w:val="000000" w:themeColor="text1"/>
                <w:sz w:val="24"/>
              </w:rPr>
            </w:pPr>
            <w:r w:rsidRPr="00676DC2">
              <w:rPr>
                <w:rFonts w:ascii="標楷體" w:eastAsia="標楷體" w:hAnsi="標楷體" w:hint="eastAsia"/>
                <w:bCs/>
                <w:color w:val="000000" w:themeColor="text1"/>
                <w:sz w:val="24"/>
              </w:rPr>
              <w:lastRenderedPageBreak/>
              <w:t>一、第一項及第二項未修正。</w:t>
            </w:r>
          </w:p>
          <w:p w:rsidR="00D04E01" w:rsidRPr="00676DC2" w:rsidRDefault="004C133F" w:rsidP="00A76539">
            <w:pPr>
              <w:ind w:left="458" w:hangingChars="191" w:hanging="458"/>
              <w:jc w:val="both"/>
              <w:rPr>
                <w:rFonts w:ascii="標楷體" w:eastAsia="標楷體" w:hAnsi="標楷體"/>
                <w:bCs/>
                <w:color w:val="000000" w:themeColor="text1"/>
                <w:sz w:val="24"/>
              </w:rPr>
            </w:pPr>
            <w:r w:rsidRPr="00676DC2">
              <w:rPr>
                <w:rFonts w:ascii="標楷體" w:eastAsia="標楷體" w:hAnsi="標楷體" w:hint="eastAsia"/>
                <w:bCs/>
                <w:color w:val="000000" w:themeColor="text1"/>
                <w:sz w:val="24"/>
              </w:rPr>
              <w:t>二</w:t>
            </w:r>
            <w:r w:rsidR="00A76539" w:rsidRPr="00676DC2">
              <w:rPr>
                <w:rFonts w:ascii="標楷體" w:eastAsia="標楷體" w:hAnsi="標楷體" w:hint="eastAsia"/>
                <w:bCs/>
                <w:color w:val="000000" w:themeColor="text1"/>
                <w:sz w:val="24"/>
              </w:rPr>
              <w:t>、</w:t>
            </w:r>
            <w:r w:rsidRPr="00676DC2">
              <w:rPr>
                <w:rFonts w:ascii="標楷體" w:eastAsia="標楷體" w:hAnsi="標楷體" w:hint="eastAsia"/>
                <w:bCs/>
                <w:color w:val="000000" w:themeColor="text1"/>
                <w:sz w:val="24"/>
              </w:rPr>
              <w:t>第</w:t>
            </w:r>
            <w:r w:rsidR="00D04E01" w:rsidRPr="00676DC2">
              <w:rPr>
                <w:rFonts w:ascii="標楷體" w:eastAsia="標楷體" w:hAnsi="標楷體" w:hint="eastAsia"/>
                <w:bCs/>
                <w:color w:val="000000" w:themeColor="text1"/>
                <w:sz w:val="24"/>
              </w:rPr>
              <w:t>三</w:t>
            </w:r>
            <w:r w:rsidRPr="00676DC2">
              <w:rPr>
                <w:rFonts w:ascii="標楷體" w:eastAsia="標楷體" w:hAnsi="標楷體" w:hint="eastAsia"/>
                <w:bCs/>
                <w:color w:val="000000" w:themeColor="text1"/>
                <w:sz w:val="24"/>
              </w:rPr>
              <w:t>項</w:t>
            </w:r>
            <w:r w:rsidR="002B1442" w:rsidRPr="00676DC2">
              <w:rPr>
                <w:rFonts w:ascii="標楷體" w:eastAsia="標楷體" w:hAnsi="標楷體" w:hint="eastAsia"/>
                <w:bCs/>
                <w:color w:val="000000" w:themeColor="text1"/>
                <w:sz w:val="24"/>
              </w:rPr>
              <w:t>為配合行政院</w:t>
            </w:r>
            <w:proofErr w:type="gramStart"/>
            <w:r w:rsidR="002B1442" w:rsidRPr="00676DC2">
              <w:rPr>
                <w:rFonts w:ascii="標楷體" w:eastAsia="標楷體" w:hAnsi="標楷體" w:hint="eastAsia"/>
                <w:bCs/>
                <w:color w:val="000000" w:themeColor="text1"/>
                <w:sz w:val="24"/>
              </w:rPr>
              <w:t>組改</w:t>
            </w:r>
            <w:r w:rsidRPr="00676DC2">
              <w:rPr>
                <w:rFonts w:ascii="標楷體" w:eastAsia="標楷體" w:hAnsi="標楷體" w:hint="eastAsia"/>
                <w:bCs/>
                <w:color w:val="000000" w:themeColor="text1"/>
                <w:sz w:val="24"/>
              </w:rPr>
              <w:t>後</w:t>
            </w:r>
            <w:proofErr w:type="gramEnd"/>
            <w:r w:rsidRPr="00676DC2">
              <w:rPr>
                <w:rFonts w:ascii="標楷體" w:eastAsia="標楷體" w:hAnsi="標楷體" w:hint="eastAsia"/>
                <w:bCs/>
                <w:color w:val="000000" w:themeColor="text1"/>
                <w:sz w:val="24"/>
              </w:rPr>
              <w:t>業務管轄權責之調</w:t>
            </w:r>
            <w:r w:rsidRPr="00676DC2">
              <w:rPr>
                <w:rFonts w:ascii="標楷體" w:eastAsia="標楷體" w:hAnsi="標楷體" w:hint="eastAsia"/>
                <w:bCs/>
                <w:color w:val="000000" w:themeColor="text1"/>
                <w:sz w:val="24"/>
              </w:rPr>
              <w:lastRenderedPageBreak/>
              <w:t>整</w:t>
            </w:r>
            <w:r w:rsidR="002B1442" w:rsidRPr="00676DC2">
              <w:rPr>
                <w:rFonts w:ascii="標楷體" w:eastAsia="標楷體" w:hAnsi="標楷體" w:hint="eastAsia"/>
                <w:bCs/>
                <w:color w:val="000000" w:themeColor="text1"/>
                <w:sz w:val="24"/>
              </w:rPr>
              <w:t>，將動員實施階段大眾傳播事業及從業人員管制辦法</w:t>
            </w:r>
            <w:r w:rsidRPr="00676DC2">
              <w:rPr>
                <w:rFonts w:ascii="標楷體" w:eastAsia="標楷體" w:hAnsi="標楷體" w:hint="eastAsia"/>
                <w:bCs/>
                <w:color w:val="000000" w:themeColor="text1"/>
                <w:sz w:val="24"/>
              </w:rPr>
              <w:t>之訂定權責，</w:t>
            </w:r>
            <w:r w:rsidR="002B1442" w:rsidRPr="00676DC2">
              <w:rPr>
                <w:rFonts w:ascii="標楷體" w:eastAsia="標楷體" w:hAnsi="標楷體" w:hint="eastAsia"/>
                <w:bCs/>
                <w:color w:val="000000" w:themeColor="text1"/>
                <w:sz w:val="24"/>
              </w:rPr>
              <w:t>修正為「</w:t>
            </w:r>
            <w:proofErr w:type="gramStart"/>
            <w:r w:rsidR="002B1442" w:rsidRPr="00676DC2">
              <w:rPr>
                <w:rFonts w:ascii="標楷體" w:eastAsia="標楷體" w:hAnsi="標楷體" w:hint="eastAsia"/>
                <w:bCs/>
                <w:color w:val="000000" w:themeColor="text1"/>
                <w:sz w:val="24"/>
              </w:rPr>
              <w:t>文化部應會同</w:t>
            </w:r>
            <w:proofErr w:type="gramEnd"/>
            <w:r w:rsidR="002B1442" w:rsidRPr="00676DC2">
              <w:rPr>
                <w:rFonts w:ascii="標楷體" w:eastAsia="標楷體" w:hAnsi="標楷體" w:hint="eastAsia"/>
                <w:bCs/>
                <w:color w:val="000000" w:themeColor="text1"/>
                <w:sz w:val="24"/>
              </w:rPr>
              <w:t>國家通訊傳播委員會訂定」</w:t>
            </w:r>
            <w:r w:rsidR="00D04E01" w:rsidRPr="00676DC2">
              <w:rPr>
                <w:rFonts w:ascii="標楷體" w:eastAsia="標楷體" w:hAnsi="標楷體" w:hint="eastAsia"/>
                <w:bCs/>
                <w:color w:val="000000" w:themeColor="text1"/>
                <w:sz w:val="24"/>
              </w:rPr>
              <w:t>。</w:t>
            </w:r>
          </w:p>
          <w:p w:rsidR="00D04E01" w:rsidRPr="00676DC2" w:rsidRDefault="00D04E01" w:rsidP="00D04E01">
            <w:pPr>
              <w:ind w:left="458" w:hangingChars="191" w:hanging="458"/>
              <w:jc w:val="both"/>
              <w:rPr>
                <w:rFonts w:ascii="標楷體" w:eastAsia="標楷體" w:hAnsi="標楷體"/>
                <w:bCs/>
                <w:color w:val="000000" w:themeColor="text1"/>
                <w:sz w:val="24"/>
              </w:rPr>
            </w:pPr>
            <w:r w:rsidRPr="00676DC2">
              <w:rPr>
                <w:rFonts w:ascii="標楷體" w:eastAsia="標楷體" w:hAnsi="標楷體" w:hint="eastAsia"/>
                <w:bCs/>
                <w:color w:val="000000" w:themeColor="text1"/>
                <w:sz w:val="24"/>
              </w:rPr>
              <w:t>三、動員實施階段大眾傳播事業及從業人員管制辦法業管機關之爭議，係依</w:t>
            </w:r>
            <w:r w:rsidR="002B1442" w:rsidRPr="00676DC2">
              <w:rPr>
                <w:rFonts w:ascii="標楷體" w:eastAsia="標楷體" w:hAnsi="標楷體" w:hint="eastAsia"/>
                <w:bCs/>
                <w:color w:val="000000" w:themeColor="text1"/>
                <w:sz w:val="24"/>
              </w:rPr>
              <w:t>行政院於</w:t>
            </w:r>
            <w:r w:rsidR="004C4C53" w:rsidRPr="00676DC2">
              <w:rPr>
                <w:rFonts w:ascii="標楷體" w:eastAsia="標楷體" w:hAnsi="標楷體" w:hint="eastAsia"/>
                <w:bCs/>
                <w:color w:val="000000" w:themeColor="text1"/>
                <w:sz w:val="24"/>
              </w:rPr>
              <w:t>一百零三</w:t>
            </w:r>
            <w:r w:rsidR="002B1442" w:rsidRPr="00676DC2">
              <w:rPr>
                <w:rFonts w:ascii="標楷體" w:eastAsia="標楷體" w:hAnsi="標楷體" w:hint="eastAsia"/>
                <w:bCs/>
                <w:color w:val="000000" w:themeColor="text1"/>
                <w:sz w:val="24"/>
              </w:rPr>
              <w:t>年</w:t>
            </w:r>
            <w:r w:rsidR="004C4C53" w:rsidRPr="00676DC2">
              <w:rPr>
                <w:rFonts w:ascii="標楷體" w:eastAsia="標楷體" w:hAnsi="標楷體" w:hint="eastAsia"/>
                <w:bCs/>
                <w:color w:val="000000" w:themeColor="text1"/>
                <w:sz w:val="24"/>
              </w:rPr>
              <w:t>五</w:t>
            </w:r>
            <w:r w:rsidR="002B1442" w:rsidRPr="00676DC2">
              <w:rPr>
                <w:rFonts w:ascii="標楷體" w:eastAsia="標楷體" w:hAnsi="標楷體" w:hint="eastAsia"/>
                <w:bCs/>
                <w:color w:val="000000" w:themeColor="text1"/>
                <w:sz w:val="24"/>
              </w:rPr>
              <w:t>月</w:t>
            </w:r>
            <w:r w:rsidR="004C4C53" w:rsidRPr="00676DC2">
              <w:rPr>
                <w:rFonts w:ascii="標楷體" w:eastAsia="標楷體" w:hAnsi="標楷體" w:hint="eastAsia"/>
                <w:bCs/>
                <w:color w:val="000000" w:themeColor="text1"/>
                <w:sz w:val="24"/>
              </w:rPr>
              <w:t>二十九</w:t>
            </w:r>
            <w:r w:rsidR="002B1442" w:rsidRPr="00676DC2">
              <w:rPr>
                <w:rFonts w:ascii="標楷體" w:eastAsia="標楷體" w:hAnsi="標楷體" w:hint="eastAsia"/>
                <w:bCs/>
                <w:color w:val="000000" w:themeColor="text1"/>
                <w:sz w:val="24"/>
              </w:rPr>
              <w:t>日邀集文化部、國家通訊傳播委員會及行政院人事行政總處、教育科學文化處、法規會與外交國防法務處等單位，由政務委員林政則先生主持協調會議所獲致結論辦理。</w:t>
            </w:r>
            <w:proofErr w:type="gramStart"/>
            <w:r w:rsidRPr="00676DC2">
              <w:rPr>
                <w:rFonts w:ascii="標楷體" w:eastAsia="標楷體" w:hAnsi="標楷體" w:hint="eastAsia"/>
                <w:bCs/>
                <w:color w:val="000000" w:themeColor="text1"/>
                <w:sz w:val="24"/>
              </w:rPr>
              <w:t>惟</w:t>
            </w:r>
            <w:proofErr w:type="gramEnd"/>
            <w:r w:rsidRPr="00676DC2">
              <w:rPr>
                <w:rFonts w:ascii="標楷體" w:eastAsia="標楷體" w:hAnsi="標楷體" w:hint="eastAsia"/>
                <w:bCs/>
                <w:color w:val="000000" w:themeColor="text1"/>
                <w:sz w:val="24"/>
              </w:rPr>
              <w:t>國防部於</w:t>
            </w:r>
            <w:r w:rsidR="006314FF" w:rsidRPr="00676DC2">
              <w:rPr>
                <w:rFonts w:ascii="標楷體" w:eastAsia="標楷體" w:hAnsi="標楷體" w:hint="eastAsia"/>
                <w:bCs/>
                <w:color w:val="000000" w:themeColor="text1"/>
                <w:sz w:val="24"/>
              </w:rPr>
              <w:t>一百零五年八月三日召開本修正草案</w:t>
            </w:r>
            <w:proofErr w:type="gramStart"/>
            <w:r w:rsidR="006314FF" w:rsidRPr="00676DC2">
              <w:rPr>
                <w:rFonts w:ascii="標楷體" w:eastAsia="標楷體" w:hAnsi="標楷體" w:hint="eastAsia"/>
                <w:bCs/>
                <w:color w:val="000000" w:themeColor="text1"/>
                <w:sz w:val="24"/>
              </w:rPr>
              <w:t>研</w:t>
            </w:r>
            <w:proofErr w:type="gramEnd"/>
            <w:r w:rsidR="006314FF" w:rsidRPr="00676DC2">
              <w:rPr>
                <w:rFonts w:ascii="標楷體" w:eastAsia="標楷體" w:hAnsi="標楷體" w:hint="eastAsia"/>
                <w:bCs/>
                <w:color w:val="000000" w:themeColor="text1"/>
                <w:sz w:val="24"/>
              </w:rPr>
              <w:t>商會議，</w:t>
            </w:r>
            <w:proofErr w:type="gramStart"/>
            <w:r w:rsidR="00A76539" w:rsidRPr="00676DC2">
              <w:rPr>
                <w:rFonts w:ascii="標楷體" w:eastAsia="標楷體" w:hAnsi="標楷體" w:hint="eastAsia"/>
                <w:bCs/>
                <w:color w:val="000000" w:themeColor="text1"/>
                <w:sz w:val="24"/>
              </w:rPr>
              <w:t>文化部</w:t>
            </w:r>
            <w:r w:rsidR="00A10B31" w:rsidRPr="00676DC2">
              <w:rPr>
                <w:rFonts w:ascii="標楷體" w:eastAsia="標楷體" w:hAnsi="標楷體" w:hint="eastAsia"/>
                <w:bCs/>
                <w:color w:val="000000" w:themeColor="text1"/>
                <w:sz w:val="24"/>
              </w:rPr>
              <w:t>仍表達</w:t>
            </w:r>
            <w:proofErr w:type="gramEnd"/>
            <w:r w:rsidR="00A76539" w:rsidRPr="00676DC2">
              <w:rPr>
                <w:rFonts w:ascii="標楷體" w:eastAsia="標楷體" w:hAnsi="標楷體" w:hint="eastAsia"/>
                <w:bCs/>
                <w:color w:val="000000" w:themeColor="text1"/>
                <w:sz w:val="24"/>
              </w:rPr>
              <w:t>不同意見</w:t>
            </w:r>
            <w:r w:rsidR="00A10B31" w:rsidRPr="00676DC2">
              <w:rPr>
                <w:rFonts w:ascii="標楷體" w:eastAsia="標楷體" w:hAnsi="標楷體" w:hint="eastAsia"/>
                <w:bCs/>
                <w:color w:val="000000" w:themeColor="text1"/>
                <w:sz w:val="24"/>
              </w:rPr>
              <w:t>。</w:t>
            </w:r>
          </w:p>
          <w:p w:rsidR="00A76539" w:rsidRPr="00676DC2" w:rsidRDefault="00D8605F" w:rsidP="00D04E01">
            <w:pPr>
              <w:ind w:left="458" w:hangingChars="191" w:hanging="458"/>
              <w:jc w:val="both"/>
              <w:rPr>
                <w:rFonts w:ascii="標楷體" w:eastAsia="標楷體" w:hAnsi="標楷體"/>
                <w:bCs/>
                <w:color w:val="000000" w:themeColor="text1"/>
                <w:sz w:val="24"/>
              </w:rPr>
            </w:pPr>
            <w:r w:rsidRPr="00676DC2">
              <w:rPr>
                <w:rFonts w:ascii="標楷體" w:eastAsia="標楷體" w:hAnsi="標楷體" w:hint="eastAsia"/>
                <w:bCs/>
                <w:color w:val="000000" w:themeColor="text1"/>
                <w:sz w:val="24"/>
              </w:rPr>
              <w:t>四、文化部意見</w:t>
            </w:r>
            <w:r w:rsidR="00A76539" w:rsidRPr="00676DC2">
              <w:rPr>
                <w:rFonts w:ascii="標楷體" w:eastAsia="標楷體" w:hAnsi="標楷體" w:hint="eastAsia"/>
                <w:bCs/>
                <w:color w:val="000000" w:themeColor="text1"/>
                <w:sz w:val="24"/>
              </w:rPr>
              <w:t>如下：</w:t>
            </w:r>
          </w:p>
          <w:p w:rsidR="00A76539" w:rsidRPr="00676DC2" w:rsidRDefault="00A76539" w:rsidP="00A76539">
            <w:pPr>
              <w:ind w:left="742" w:hangingChars="309" w:hanging="742"/>
              <w:jc w:val="both"/>
              <w:rPr>
                <w:rFonts w:ascii="標楷體" w:eastAsia="標楷體" w:hAnsi="標楷體"/>
                <w:bCs/>
                <w:color w:val="000000" w:themeColor="text1"/>
                <w:sz w:val="24"/>
              </w:rPr>
            </w:pPr>
            <w:r w:rsidRPr="00676DC2">
              <w:rPr>
                <w:rFonts w:ascii="標楷體" w:eastAsia="標楷體" w:hAnsi="標楷體" w:hint="eastAsia"/>
                <w:bCs/>
                <w:color w:val="000000" w:themeColor="text1"/>
                <w:sz w:val="24"/>
              </w:rPr>
              <w:t>（一）從業務比重來看：按大眾傳播媒體之分類，廣播媒體、電視媒體之</w:t>
            </w:r>
            <w:proofErr w:type="gramStart"/>
            <w:r w:rsidRPr="00676DC2">
              <w:rPr>
                <w:rFonts w:ascii="標楷體" w:eastAsia="標楷體" w:hAnsi="標楷體" w:hint="eastAsia"/>
                <w:bCs/>
                <w:color w:val="000000" w:themeColor="text1"/>
                <w:sz w:val="24"/>
              </w:rPr>
              <w:t>主管機關均為</w:t>
            </w:r>
            <w:r w:rsidR="00A25B5E" w:rsidRPr="00676DC2">
              <w:rPr>
                <w:rFonts w:ascii="標楷體" w:eastAsia="標楷體" w:hAnsi="標楷體" w:hint="eastAsia"/>
                <w:bCs/>
                <w:color w:val="000000" w:themeColor="text1"/>
                <w:sz w:val="24"/>
              </w:rPr>
              <w:t>國家</w:t>
            </w:r>
            <w:proofErr w:type="gramEnd"/>
            <w:r w:rsidR="00A25B5E" w:rsidRPr="00676DC2">
              <w:rPr>
                <w:rFonts w:ascii="標楷體" w:eastAsia="標楷體" w:hAnsi="標楷體" w:hint="eastAsia"/>
                <w:bCs/>
                <w:color w:val="000000" w:themeColor="text1"/>
                <w:sz w:val="24"/>
              </w:rPr>
              <w:t>通訊傳播委員會</w:t>
            </w:r>
            <w:r w:rsidRPr="00676DC2">
              <w:rPr>
                <w:rFonts w:ascii="標楷體" w:eastAsia="標楷體" w:hAnsi="標楷體" w:hint="eastAsia"/>
                <w:bCs/>
                <w:color w:val="000000" w:themeColor="text1"/>
                <w:sz w:val="24"/>
              </w:rPr>
              <w:t>，報章雜誌等平面傳播媒體由</w:t>
            </w:r>
            <w:r w:rsidR="00A25B5E" w:rsidRPr="00676DC2">
              <w:rPr>
                <w:rFonts w:ascii="標楷體" w:eastAsia="標楷體" w:hAnsi="標楷體" w:hint="eastAsia"/>
                <w:bCs/>
                <w:color w:val="000000" w:themeColor="text1"/>
                <w:sz w:val="24"/>
              </w:rPr>
              <w:t>文化</w:t>
            </w:r>
            <w:r w:rsidRPr="00676DC2">
              <w:rPr>
                <w:rFonts w:ascii="標楷體" w:eastAsia="標楷體" w:hAnsi="標楷體" w:hint="eastAsia"/>
                <w:bCs/>
                <w:color w:val="000000" w:themeColor="text1"/>
                <w:sz w:val="24"/>
              </w:rPr>
              <w:t>部擔任主管機關，按業務比重來看，</w:t>
            </w:r>
            <w:r w:rsidR="00A25B5E" w:rsidRPr="00676DC2">
              <w:rPr>
                <w:rFonts w:ascii="標楷體" w:eastAsia="標楷體" w:hAnsi="標楷體" w:hint="eastAsia"/>
                <w:bCs/>
                <w:color w:val="000000" w:themeColor="text1"/>
                <w:sz w:val="24"/>
              </w:rPr>
              <w:t>國家通訊傳播委員會</w:t>
            </w:r>
            <w:r w:rsidRPr="00676DC2">
              <w:rPr>
                <w:rFonts w:ascii="標楷體" w:eastAsia="標楷體" w:hAnsi="標楷體" w:hint="eastAsia"/>
                <w:bCs/>
                <w:color w:val="000000" w:themeColor="text1"/>
                <w:sz w:val="24"/>
              </w:rPr>
              <w:t>至少占</w:t>
            </w:r>
            <w:r w:rsidR="00A25B5E" w:rsidRPr="00676DC2">
              <w:rPr>
                <w:rFonts w:ascii="標楷體" w:eastAsia="標楷體" w:hAnsi="標楷體" w:hint="eastAsia"/>
                <w:bCs/>
                <w:color w:val="000000" w:themeColor="text1"/>
                <w:sz w:val="24"/>
              </w:rPr>
              <w:t>二分之一</w:t>
            </w:r>
            <w:r w:rsidRPr="00676DC2">
              <w:rPr>
                <w:rFonts w:ascii="標楷體" w:eastAsia="標楷體" w:hAnsi="標楷體" w:hint="eastAsia"/>
                <w:bCs/>
                <w:color w:val="000000" w:themeColor="text1"/>
                <w:sz w:val="24"/>
              </w:rPr>
              <w:t>，</w:t>
            </w:r>
            <w:proofErr w:type="gramStart"/>
            <w:r w:rsidR="00A25B5E" w:rsidRPr="00676DC2">
              <w:rPr>
                <w:rFonts w:ascii="標楷體" w:eastAsia="標楷體" w:hAnsi="標楷體" w:hint="eastAsia"/>
                <w:bCs/>
                <w:color w:val="000000" w:themeColor="text1"/>
                <w:sz w:val="24"/>
              </w:rPr>
              <w:t>文化</w:t>
            </w:r>
            <w:r w:rsidRPr="00676DC2">
              <w:rPr>
                <w:rFonts w:ascii="標楷體" w:eastAsia="標楷體" w:hAnsi="標楷體" w:hint="eastAsia"/>
                <w:bCs/>
                <w:color w:val="000000" w:themeColor="text1"/>
                <w:sz w:val="24"/>
              </w:rPr>
              <w:t>部僅占</w:t>
            </w:r>
            <w:proofErr w:type="gramEnd"/>
            <w:r w:rsidR="00A25B5E" w:rsidRPr="00676DC2">
              <w:rPr>
                <w:rFonts w:ascii="標楷體" w:eastAsia="標楷體" w:hAnsi="標楷體" w:hint="eastAsia"/>
                <w:bCs/>
                <w:color w:val="000000" w:themeColor="text1"/>
                <w:sz w:val="24"/>
              </w:rPr>
              <w:t>四分之一</w:t>
            </w:r>
            <w:r w:rsidRPr="00676DC2">
              <w:rPr>
                <w:rFonts w:ascii="標楷體" w:eastAsia="標楷體" w:hAnsi="標楷體" w:hint="eastAsia"/>
                <w:bCs/>
                <w:color w:val="000000" w:themeColor="text1"/>
                <w:sz w:val="24"/>
              </w:rPr>
              <w:t>，宜由</w:t>
            </w:r>
            <w:r w:rsidR="00A25B5E" w:rsidRPr="00676DC2">
              <w:rPr>
                <w:rFonts w:ascii="標楷體" w:eastAsia="標楷體" w:hAnsi="標楷體" w:hint="eastAsia"/>
                <w:bCs/>
                <w:color w:val="000000" w:themeColor="text1"/>
                <w:sz w:val="24"/>
              </w:rPr>
              <w:t>國家通訊傳播委員會</w:t>
            </w:r>
            <w:r w:rsidRPr="00676DC2">
              <w:rPr>
                <w:rFonts w:ascii="標楷體" w:eastAsia="標楷體" w:hAnsi="標楷體" w:hint="eastAsia"/>
                <w:bCs/>
                <w:color w:val="000000" w:themeColor="text1"/>
                <w:sz w:val="24"/>
              </w:rPr>
              <w:t>主政，</w:t>
            </w:r>
            <w:r w:rsidR="00A25B5E" w:rsidRPr="00676DC2">
              <w:rPr>
                <w:rFonts w:ascii="標楷體" w:eastAsia="標楷體" w:hAnsi="標楷體" w:hint="eastAsia"/>
                <w:bCs/>
                <w:color w:val="000000" w:themeColor="text1"/>
                <w:sz w:val="24"/>
              </w:rPr>
              <w:t>文化</w:t>
            </w:r>
            <w:r w:rsidRPr="00676DC2">
              <w:rPr>
                <w:rFonts w:ascii="標楷體" w:eastAsia="標楷體" w:hAnsi="標楷體" w:hint="eastAsia"/>
                <w:bCs/>
                <w:color w:val="000000" w:themeColor="text1"/>
                <w:sz w:val="24"/>
              </w:rPr>
              <w:t>部協同辦理，較為合理。</w:t>
            </w:r>
          </w:p>
          <w:p w:rsidR="00A76539" w:rsidRPr="00676DC2" w:rsidRDefault="00A76539" w:rsidP="00A76539">
            <w:pPr>
              <w:ind w:left="742" w:hangingChars="309" w:hanging="742"/>
              <w:jc w:val="both"/>
              <w:rPr>
                <w:rFonts w:ascii="標楷體" w:eastAsia="標楷體" w:hAnsi="標楷體"/>
                <w:bCs/>
                <w:color w:val="000000" w:themeColor="text1"/>
                <w:sz w:val="24"/>
              </w:rPr>
            </w:pPr>
            <w:r w:rsidRPr="00676DC2">
              <w:rPr>
                <w:rFonts w:ascii="標楷體" w:eastAsia="標楷體" w:hAnsi="標楷體" w:hint="eastAsia"/>
                <w:bCs/>
                <w:color w:val="000000" w:themeColor="text1"/>
                <w:sz w:val="24"/>
              </w:rPr>
              <w:lastRenderedPageBreak/>
              <w:t>（二）從依法行政來看：</w:t>
            </w:r>
            <w:r w:rsidR="00A25B5E" w:rsidRPr="00676DC2">
              <w:rPr>
                <w:rFonts w:ascii="標楷體" w:eastAsia="標楷體" w:hAnsi="標楷體" w:hint="eastAsia"/>
                <w:bCs/>
                <w:color w:val="000000" w:themeColor="text1"/>
                <w:sz w:val="24"/>
              </w:rPr>
              <w:t>文化</w:t>
            </w:r>
            <w:r w:rsidRPr="00676DC2">
              <w:rPr>
                <w:rFonts w:ascii="標楷體" w:eastAsia="標楷體" w:hAnsi="標楷體" w:hint="eastAsia"/>
                <w:bCs/>
                <w:color w:val="000000" w:themeColor="text1"/>
                <w:sz w:val="24"/>
              </w:rPr>
              <w:t>部組織法</w:t>
            </w:r>
            <w:proofErr w:type="gramStart"/>
            <w:r w:rsidRPr="00676DC2">
              <w:rPr>
                <w:rFonts w:ascii="標楷體" w:eastAsia="標楷體" w:hAnsi="標楷體" w:hint="eastAsia"/>
                <w:bCs/>
                <w:color w:val="000000" w:themeColor="text1"/>
                <w:sz w:val="24"/>
              </w:rPr>
              <w:t>明訂掌理事</w:t>
            </w:r>
            <w:proofErr w:type="gramEnd"/>
            <w:r w:rsidRPr="00676DC2">
              <w:rPr>
                <w:rFonts w:ascii="標楷體" w:eastAsia="標楷體" w:hAnsi="標楷體" w:hint="eastAsia"/>
                <w:bCs/>
                <w:color w:val="000000" w:themeColor="text1"/>
                <w:sz w:val="24"/>
              </w:rPr>
              <w:t>項為出版產業政策之規劃，</w:t>
            </w:r>
            <w:proofErr w:type="gramStart"/>
            <w:r w:rsidRPr="00676DC2">
              <w:rPr>
                <w:rFonts w:ascii="標楷體" w:eastAsia="標楷體" w:hAnsi="標楷體" w:hint="eastAsia"/>
                <w:bCs/>
                <w:color w:val="000000" w:themeColor="text1"/>
                <w:sz w:val="24"/>
              </w:rPr>
              <w:t>研</w:t>
            </w:r>
            <w:proofErr w:type="gramEnd"/>
            <w:r w:rsidRPr="00676DC2">
              <w:rPr>
                <w:rFonts w:ascii="標楷體" w:eastAsia="標楷體" w:hAnsi="標楷體" w:hint="eastAsia"/>
                <w:bCs/>
                <w:color w:val="000000" w:themeColor="text1"/>
                <w:sz w:val="24"/>
              </w:rPr>
              <w:t>擬、輔導、獎勵及推動，在恪遵憲法保障人民言論自由之精神下，並無相關管制法令，也不從事大眾傳播事業之監理、新聞傳播業務管制與從業人員管理等工作，本於依法行政的原則，要求</w:t>
            </w:r>
            <w:r w:rsidR="00A25B5E" w:rsidRPr="00676DC2">
              <w:rPr>
                <w:rFonts w:ascii="標楷體" w:eastAsia="標楷體" w:hAnsi="標楷體" w:hint="eastAsia"/>
                <w:bCs/>
                <w:color w:val="000000" w:themeColor="text1"/>
                <w:sz w:val="24"/>
              </w:rPr>
              <w:t>文化</w:t>
            </w:r>
            <w:proofErr w:type="gramStart"/>
            <w:r w:rsidRPr="00676DC2">
              <w:rPr>
                <w:rFonts w:ascii="標楷體" w:eastAsia="標楷體" w:hAnsi="標楷體" w:hint="eastAsia"/>
                <w:bCs/>
                <w:color w:val="000000" w:themeColor="text1"/>
                <w:sz w:val="24"/>
              </w:rPr>
              <w:t>部主政訂</w:t>
            </w:r>
            <w:proofErr w:type="gramEnd"/>
            <w:r w:rsidRPr="00676DC2">
              <w:rPr>
                <w:rFonts w:ascii="標楷體" w:eastAsia="標楷體" w:hAnsi="標楷體" w:hint="eastAsia"/>
                <w:bCs/>
                <w:color w:val="000000" w:themeColor="text1"/>
                <w:sz w:val="24"/>
              </w:rPr>
              <w:t>定管制辦法，實屬窒礙難行。</w:t>
            </w:r>
          </w:p>
          <w:p w:rsidR="00A76539" w:rsidRPr="00676DC2" w:rsidRDefault="00A76539" w:rsidP="00A76539">
            <w:pPr>
              <w:ind w:left="742" w:hangingChars="309" w:hanging="742"/>
              <w:jc w:val="both"/>
              <w:rPr>
                <w:rFonts w:ascii="標楷體" w:eastAsia="標楷體" w:hAnsi="標楷體"/>
                <w:bCs/>
                <w:color w:val="000000" w:themeColor="text1"/>
                <w:sz w:val="24"/>
              </w:rPr>
            </w:pPr>
            <w:r w:rsidRPr="00676DC2">
              <w:rPr>
                <w:rFonts w:ascii="標楷體" w:eastAsia="標楷體" w:hAnsi="標楷體" w:hint="eastAsia"/>
                <w:bCs/>
                <w:color w:val="000000" w:themeColor="text1"/>
                <w:sz w:val="24"/>
              </w:rPr>
              <w:t>（三）從執行效果來看：</w:t>
            </w:r>
            <w:r w:rsidR="00A25B5E" w:rsidRPr="00676DC2">
              <w:rPr>
                <w:rFonts w:ascii="標楷體" w:eastAsia="標楷體" w:hAnsi="標楷體" w:hint="eastAsia"/>
                <w:bCs/>
                <w:color w:val="000000" w:themeColor="text1"/>
                <w:sz w:val="24"/>
              </w:rPr>
              <w:t>國家通訊傳播委員會</w:t>
            </w:r>
            <w:r w:rsidRPr="00676DC2">
              <w:rPr>
                <w:rFonts w:ascii="標楷體" w:eastAsia="標楷體" w:hAnsi="標楷體" w:hint="eastAsia"/>
                <w:bCs/>
                <w:color w:val="000000" w:themeColor="text1"/>
                <w:sz w:val="24"/>
              </w:rPr>
              <w:t>在平時即可透過廣電三法執行內容審查、管制與裁罰，有熟悉業務的人員、技術、工具可以處理，當國家進入緊急狀況時，</w:t>
            </w:r>
            <w:r w:rsidR="00A25B5E" w:rsidRPr="00676DC2">
              <w:rPr>
                <w:rFonts w:ascii="標楷體" w:eastAsia="標楷體" w:hAnsi="標楷體" w:hint="eastAsia"/>
                <w:bCs/>
                <w:color w:val="000000" w:themeColor="text1"/>
                <w:sz w:val="24"/>
              </w:rPr>
              <w:t>國家通訊傳播委員會</w:t>
            </w:r>
            <w:r w:rsidRPr="00676DC2">
              <w:rPr>
                <w:rFonts w:ascii="標楷體" w:eastAsia="標楷體" w:hAnsi="標楷體" w:hint="eastAsia"/>
                <w:bCs/>
                <w:color w:val="000000" w:themeColor="text1"/>
                <w:sz w:val="24"/>
              </w:rPr>
              <w:t>依循其平時進行之監管作業方式稍作調整，即可於緊急狀況時，零時差進行監管，最能快速有效反應。</w:t>
            </w:r>
          </w:p>
          <w:p w:rsidR="00DC5F9C" w:rsidRPr="00676DC2" w:rsidRDefault="00D8605F" w:rsidP="00A76539">
            <w:pPr>
              <w:ind w:leftChars="-45" w:left="458" w:hangingChars="236" w:hanging="566"/>
              <w:jc w:val="both"/>
              <w:rPr>
                <w:rFonts w:ascii="標楷體" w:eastAsia="標楷體" w:hAnsi="標楷體"/>
                <w:bCs/>
                <w:color w:val="000000" w:themeColor="text1"/>
                <w:sz w:val="24"/>
              </w:rPr>
            </w:pPr>
            <w:r w:rsidRPr="00676DC2">
              <w:rPr>
                <w:rFonts w:ascii="標楷體" w:eastAsia="標楷體" w:hAnsi="標楷體" w:hint="eastAsia"/>
                <w:bCs/>
                <w:color w:val="000000" w:themeColor="text1"/>
                <w:sz w:val="24"/>
              </w:rPr>
              <w:t>五</w:t>
            </w:r>
            <w:r w:rsidR="00A76539" w:rsidRPr="00676DC2">
              <w:rPr>
                <w:rFonts w:ascii="標楷體" w:eastAsia="標楷體" w:hAnsi="標楷體" w:hint="eastAsia"/>
                <w:bCs/>
                <w:color w:val="000000" w:themeColor="text1"/>
                <w:sz w:val="24"/>
              </w:rPr>
              <w:t>、國家通訊傳播委員會意見</w:t>
            </w:r>
            <w:r w:rsidR="003C7583" w:rsidRPr="00676DC2">
              <w:rPr>
                <w:rFonts w:ascii="標楷體" w:eastAsia="標楷體" w:hAnsi="標楷體" w:hint="eastAsia"/>
                <w:bCs/>
                <w:color w:val="000000" w:themeColor="text1"/>
                <w:sz w:val="24"/>
              </w:rPr>
              <w:t>如下</w:t>
            </w:r>
            <w:r w:rsidR="00A76539" w:rsidRPr="00676DC2">
              <w:rPr>
                <w:rFonts w:ascii="標楷體" w:eastAsia="標楷體" w:hAnsi="標楷體" w:hint="eastAsia"/>
                <w:bCs/>
                <w:color w:val="000000" w:themeColor="text1"/>
                <w:sz w:val="24"/>
              </w:rPr>
              <w:t>：</w:t>
            </w:r>
          </w:p>
          <w:p w:rsidR="00E44981" w:rsidRPr="00676DC2" w:rsidRDefault="00A76539" w:rsidP="00E44981">
            <w:pPr>
              <w:ind w:leftChars="14" w:left="742" w:hangingChars="295" w:hanging="708"/>
              <w:jc w:val="both"/>
              <w:rPr>
                <w:rFonts w:ascii="標楷體" w:eastAsia="標楷體" w:hAnsi="標楷體"/>
                <w:bCs/>
                <w:color w:val="000000" w:themeColor="text1"/>
                <w:sz w:val="24"/>
              </w:rPr>
            </w:pPr>
            <w:r w:rsidRPr="00676DC2">
              <w:rPr>
                <w:rFonts w:ascii="標楷體" w:eastAsia="標楷體" w:hAnsi="標楷體" w:hint="eastAsia"/>
                <w:bCs/>
                <w:color w:val="000000" w:themeColor="text1"/>
                <w:sz w:val="24"/>
              </w:rPr>
              <w:t>（</w:t>
            </w:r>
            <w:r w:rsidR="00F16178" w:rsidRPr="00676DC2">
              <w:rPr>
                <w:rFonts w:ascii="標楷體" w:eastAsia="標楷體" w:hAnsi="標楷體" w:hint="eastAsia"/>
                <w:bCs/>
                <w:color w:val="000000" w:themeColor="text1"/>
                <w:sz w:val="24"/>
              </w:rPr>
              <w:t>一</w:t>
            </w:r>
            <w:r w:rsidRPr="00676DC2">
              <w:rPr>
                <w:rFonts w:ascii="標楷體" w:eastAsia="標楷體" w:hAnsi="標楷體" w:hint="eastAsia"/>
                <w:bCs/>
                <w:color w:val="000000" w:themeColor="text1"/>
                <w:sz w:val="24"/>
              </w:rPr>
              <w:t>）</w:t>
            </w:r>
            <w:r w:rsidR="00A25B5E" w:rsidRPr="00676DC2">
              <w:rPr>
                <w:rFonts w:ascii="標楷體" w:eastAsia="標楷體" w:hAnsi="標楷體" w:hint="eastAsia"/>
                <w:bCs/>
                <w:color w:val="000000" w:themeColor="text1"/>
                <w:sz w:val="24"/>
              </w:rPr>
              <w:t>國家通訊傳播委員</w:t>
            </w:r>
            <w:r w:rsidRPr="00676DC2">
              <w:rPr>
                <w:rFonts w:ascii="標楷體" w:eastAsia="標楷體" w:hAnsi="標楷體" w:hint="eastAsia"/>
                <w:bCs/>
                <w:color w:val="000000" w:themeColor="text1"/>
                <w:sz w:val="24"/>
              </w:rPr>
              <w:t>會組織法已明定，主管之通訊傳播相關法規，包括電信法、廣播電視法、有線廣播</w:t>
            </w:r>
            <w:r w:rsidRPr="00676DC2">
              <w:rPr>
                <w:rFonts w:ascii="標楷體" w:eastAsia="標楷體" w:hAnsi="標楷體" w:hint="eastAsia"/>
                <w:bCs/>
                <w:color w:val="000000" w:themeColor="text1"/>
                <w:sz w:val="24"/>
              </w:rPr>
              <w:lastRenderedPageBreak/>
              <w:t>電視法及衛星廣播電視法。是</w:t>
            </w:r>
            <w:proofErr w:type="gramStart"/>
            <w:r w:rsidRPr="00676DC2">
              <w:rPr>
                <w:rFonts w:ascii="標楷體" w:eastAsia="標楷體" w:hAnsi="標楷體" w:hint="eastAsia"/>
                <w:bCs/>
                <w:color w:val="000000" w:themeColor="text1"/>
                <w:sz w:val="24"/>
              </w:rPr>
              <w:t>以</w:t>
            </w:r>
            <w:proofErr w:type="gramEnd"/>
            <w:r w:rsidRPr="00676DC2">
              <w:rPr>
                <w:rFonts w:ascii="標楷體" w:eastAsia="標楷體" w:hAnsi="標楷體" w:hint="eastAsia"/>
                <w:bCs/>
                <w:color w:val="000000" w:themeColor="text1"/>
                <w:sz w:val="24"/>
              </w:rPr>
              <w:t>，所主管之大眾傳播媒體，僅有廣播電視，而非如文化部代表所言，由本會管轄大部分種類之傳媒。文化</w:t>
            </w:r>
            <w:proofErr w:type="gramStart"/>
            <w:r w:rsidRPr="00676DC2">
              <w:rPr>
                <w:rFonts w:ascii="標楷體" w:eastAsia="標楷體" w:hAnsi="標楷體" w:hint="eastAsia"/>
                <w:bCs/>
                <w:color w:val="000000" w:themeColor="text1"/>
                <w:sz w:val="24"/>
              </w:rPr>
              <w:t>部所言約</w:t>
            </w:r>
            <w:proofErr w:type="gramEnd"/>
            <w:r w:rsidRPr="00676DC2">
              <w:rPr>
                <w:rFonts w:ascii="標楷體" w:eastAsia="標楷體" w:hAnsi="標楷體" w:hint="eastAsia"/>
                <w:bCs/>
                <w:color w:val="000000" w:themeColor="text1"/>
                <w:sz w:val="24"/>
              </w:rPr>
              <w:t>超過</w:t>
            </w:r>
            <w:r w:rsidR="00A25B5E" w:rsidRPr="00676DC2">
              <w:rPr>
                <w:rFonts w:ascii="標楷體" w:eastAsia="標楷體" w:hAnsi="標楷體" w:hint="eastAsia"/>
                <w:bCs/>
                <w:color w:val="000000" w:themeColor="text1"/>
                <w:sz w:val="24"/>
              </w:rPr>
              <w:t>二分之一</w:t>
            </w:r>
            <w:r w:rsidRPr="00676DC2">
              <w:rPr>
                <w:rFonts w:ascii="標楷體" w:eastAsia="標楷體" w:hAnsi="標楷體" w:hint="eastAsia"/>
                <w:bCs/>
                <w:color w:val="000000" w:themeColor="text1"/>
                <w:sz w:val="24"/>
              </w:rPr>
              <w:t>傳播媒體係由</w:t>
            </w:r>
            <w:r w:rsidR="003C7583" w:rsidRPr="00676DC2">
              <w:rPr>
                <w:rFonts w:ascii="標楷體" w:eastAsia="標楷體" w:hAnsi="標楷體" w:hint="eastAsia"/>
                <w:bCs/>
                <w:color w:val="000000" w:themeColor="text1"/>
                <w:sz w:val="24"/>
              </w:rPr>
              <w:t>國家通訊傳播委員</w:t>
            </w:r>
            <w:r w:rsidRPr="00676DC2">
              <w:rPr>
                <w:rFonts w:ascii="標楷體" w:eastAsia="標楷體" w:hAnsi="標楷體" w:hint="eastAsia"/>
                <w:bCs/>
                <w:color w:val="000000" w:themeColor="text1"/>
                <w:sz w:val="24"/>
              </w:rPr>
              <w:t>會掌管</w:t>
            </w:r>
            <w:proofErr w:type="gramStart"/>
            <w:r w:rsidRPr="00676DC2">
              <w:rPr>
                <w:rFonts w:ascii="標楷體" w:eastAsia="標楷體" w:hAnsi="標楷體" w:hint="eastAsia"/>
                <w:bCs/>
                <w:color w:val="000000" w:themeColor="text1"/>
                <w:sz w:val="24"/>
              </w:rPr>
              <w:t>監理乙節</w:t>
            </w:r>
            <w:proofErr w:type="gramEnd"/>
            <w:r w:rsidRPr="00676DC2">
              <w:rPr>
                <w:rFonts w:ascii="標楷體" w:eastAsia="標楷體" w:hAnsi="標楷體" w:hint="eastAsia"/>
                <w:bCs/>
                <w:color w:val="000000" w:themeColor="text1"/>
                <w:sz w:val="24"/>
              </w:rPr>
              <w:t>，顯有偏頗。</w:t>
            </w:r>
          </w:p>
          <w:p w:rsidR="00E44981" w:rsidRPr="00676DC2" w:rsidRDefault="00A76539" w:rsidP="00E44981">
            <w:pPr>
              <w:ind w:leftChars="14" w:left="742" w:hangingChars="295" w:hanging="708"/>
              <w:jc w:val="both"/>
              <w:rPr>
                <w:rFonts w:ascii="標楷體" w:eastAsia="標楷體" w:hAnsi="標楷體"/>
                <w:bCs/>
                <w:color w:val="000000" w:themeColor="text1"/>
                <w:sz w:val="24"/>
              </w:rPr>
            </w:pPr>
            <w:r w:rsidRPr="00676DC2">
              <w:rPr>
                <w:rFonts w:ascii="標楷體" w:eastAsia="標楷體" w:hAnsi="標楷體" w:hint="eastAsia"/>
                <w:bCs/>
                <w:color w:val="000000" w:themeColor="text1"/>
                <w:sz w:val="24"/>
              </w:rPr>
              <w:t>（</w:t>
            </w:r>
            <w:r w:rsidR="00A25B5E" w:rsidRPr="00676DC2">
              <w:rPr>
                <w:rFonts w:ascii="標楷體" w:eastAsia="標楷體" w:hAnsi="標楷體" w:hint="eastAsia"/>
                <w:bCs/>
                <w:color w:val="000000" w:themeColor="text1"/>
                <w:sz w:val="24"/>
              </w:rPr>
              <w:t>二</w:t>
            </w:r>
            <w:r w:rsidRPr="00676DC2">
              <w:rPr>
                <w:rFonts w:ascii="標楷體" w:eastAsia="標楷體" w:hAnsi="標楷體" w:hint="eastAsia"/>
                <w:bCs/>
                <w:color w:val="000000" w:themeColor="text1"/>
                <w:sz w:val="24"/>
              </w:rPr>
              <w:t>）文化部主管平面媒體、電影、錄影節目帶，亦負責廣播電視輔導獎勵之業務，因此，</w:t>
            </w:r>
            <w:proofErr w:type="gramStart"/>
            <w:r w:rsidR="00A25B5E" w:rsidRPr="00676DC2">
              <w:rPr>
                <w:rFonts w:ascii="標楷體" w:eastAsia="標楷體" w:hAnsi="標楷體" w:hint="eastAsia"/>
                <w:bCs/>
                <w:color w:val="000000" w:themeColor="text1"/>
                <w:sz w:val="24"/>
              </w:rPr>
              <w:t>文化</w:t>
            </w:r>
            <w:r w:rsidRPr="00676DC2">
              <w:rPr>
                <w:rFonts w:ascii="標楷體" w:eastAsia="標楷體" w:hAnsi="標楷體" w:hint="eastAsia"/>
                <w:bCs/>
                <w:color w:val="000000" w:themeColor="text1"/>
                <w:sz w:val="24"/>
              </w:rPr>
              <w:t>部所主管</w:t>
            </w:r>
            <w:proofErr w:type="gramEnd"/>
            <w:r w:rsidRPr="00676DC2">
              <w:rPr>
                <w:rFonts w:ascii="標楷體" w:eastAsia="標楷體" w:hAnsi="標楷體" w:hint="eastAsia"/>
                <w:bCs/>
                <w:color w:val="000000" w:themeColor="text1"/>
                <w:sz w:val="24"/>
              </w:rPr>
              <w:t>之媒體種類，實比</w:t>
            </w:r>
            <w:r w:rsidR="00A25B5E" w:rsidRPr="00676DC2">
              <w:rPr>
                <w:rFonts w:ascii="標楷體" w:eastAsia="標楷體" w:hAnsi="標楷體" w:hint="eastAsia"/>
                <w:bCs/>
                <w:color w:val="000000" w:themeColor="text1"/>
                <w:sz w:val="24"/>
              </w:rPr>
              <w:t>較</w:t>
            </w:r>
            <w:r w:rsidRPr="00676DC2">
              <w:rPr>
                <w:rFonts w:ascii="標楷體" w:eastAsia="標楷體" w:hAnsi="標楷體" w:hint="eastAsia"/>
                <w:bCs/>
                <w:color w:val="000000" w:themeColor="text1"/>
                <w:sz w:val="24"/>
              </w:rPr>
              <w:t>多元。</w:t>
            </w:r>
          </w:p>
          <w:p w:rsidR="00E44981" w:rsidRPr="00676DC2" w:rsidRDefault="00A76539" w:rsidP="00E44981">
            <w:pPr>
              <w:ind w:leftChars="14" w:left="742" w:hangingChars="295" w:hanging="708"/>
              <w:jc w:val="both"/>
              <w:rPr>
                <w:rFonts w:ascii="標楷體" w:eastAsia="標楷體" w:hAnsi="標楷體"/>
                <w:bCs/>
                <w:color w:val="000000" w:themeColor="text1"/>
                <w:sz w:val="24"/>
              </w:rPr>
            </w:pPr>
            <w:r w:rsidRPr="00676DC2">
              <w:rPr>
                <w:rFonts w:ascii="標楷體" w:eastAsia="標楷體" w:hAnsi="標楷體" w:hint="eastAsia"/>
                <w:bCs/>
                <w:color w:val="000000" w:themeColor="text1"/>
                <w:sz w:val="24"/>
              </w:rPr>
              <w:t>（</w:t>
            </w:r>
            <w:r w:rsidR="00E44981" w:rsidRPr="00676DC2">
              <w:rPr>
                <w:rFonts w:ascii="標楷體" w:eastAsia="標楷體" w:hAnsi="標楷體" w:hint="eastAsia"/>
                <w:bCs/>
                <w:color w:val="000000" w:themeColor="text1"/>
                <w:sz w:val="24"/>
              </w:rPr>
              <w:t>三</w:t>
            </w:r>
            <w:r w:rsidRPr="00676DC2">
              <w:rPr>
                <w:rFonts w:ascii="標楷體" w:eastAsia="標楷體" w:hAnsi="標楷體" w:hint="eastAsia"/>
                <w:bCs/>
                <w:color w:val="000000" w:themeColor="text1"/>
                <w:sz w:val="24"/>
              </w:rPr>
              <w:t>）至於網路，依行政院國家資通安全會報公布之「網際網路內容管理基本規範及分工原則」，確認我國網際網路內容管理與實體社會的管理方式相同，係由各法令主管機關依權責處理，故</w:t>
            </w:r>
            <w:r w:rsidR="00A25B5E" w:rsidRPr="00676DC2">
              <w:rPr>
                <w:rFonts w:ascii="標楷體" w:eastAsia="標楷體" w:hAnsi="標楷體" w:hint="eastAsia"/>
                <w:bCs/>
                <w:color w:val="000000" w:themeColor="text1"/>
                <w:sz w:val="24"/>
              </w:rPr>
              <w:t>國家通訊傳播委員會</w:t>
            </w:r>
            <w:r w:rsidRPr="00676DC2">
              <w:rPr>
                <w:rFonts w:ascii="標楷體" w:eastAsia="標楷體" w:hAnsi="標楷體" w:hint="eastAsia"/>
                <w:bCs/>
                <w:color w:val="000000" w:themeColor="text1"/>
                <w:sz w:val="24"/>
              </w:rPr>
              <w:t>非網際網路之主管機關。</w:t>
            </w:r>
          </w:p>
          <w:p w:rsidR="00A76539" w:rsidRPr="00676DC2" w:rsidRDefault="00A76539" w:rsidP="003C7583">
            <w:pPr>
              <w:ind w:leftChars="14" w:left="742" w:hangingChars="295" w:hanging="708"/>
              <w:jc w:val="both"/>
              <w:rPr>
                <w:rFonts w:ascii="標楷體" w:eastAsia="標楷體" w:hAnsi="標楷體"/>
                <w:bCs/>
                <w:color w:val="000000" w:themeColor="text1"/>
                <w:sz w:val="24"/>
              </w:rPr>
            </w:pPr>
            <w:r w:rsidRPr="00676DC2">
              <w:rPr>
                <w:rFonts w:ascii="標楷體" w:eastAsia="標楷體" w:hAnsi="標楷體" w:hint="eastAsia"/>
                <w:bCs/>
                <w:color w:val="000000" w:themeColor="text1"/>
                <w:sz w:val="24"/>
              </w:rPr>
              <w:t>（</w:t>
            </w:r>
            <w:r w:rsidR="00E44981" w:rsidRPr="00676DC2">
              <w:rPr>
                <w:rFonts w:ascii="標楷體" w:eastAsia="標楷體" w:hAnsi="標楷體" w:hint="eastAsia"/>
                <w:bCs/>
                <w:color w:val="000000" w:themeColor="text1"/>
                <w:sz w:val="24"/>
              </w:rPr>
              <w:t>四</w:t>
            </w:r>
            <w:r w:rsidRPr="00676DC2">
              <w:rPr>
                <w:rFonts w:ascii="標楷體" w:eastAsia="標楷體" w:hAnsi="標楷體" w:hint="eastAsia"/>
                <w:bCs/>
                <w:color w:val="000000" w:themeColor="text1"/>
                <w:sz w:val="24"/>
              </w:rPr>
              <w:t>）針對</w:t>
            </w:r>
            <w:proofErr w:type="gramStart"/>
            <w:r w:rsidRPr="00676DC2">
              <w:rPr>
                <w:rFonts w:ascii="標楷體" w:eastAsia="標楷體" w:hAnsi="標楷體" w:hint="eastAsia"/>
                <w:bCs/>
                <w:color w:val="000000" w:themeColor="text1"/>
                <w:sz w:val="24"/>
              </w:rPr>
              <w:t>機關間對管轄</w:t>
            </w:r>
            <w:proofErr w:type="gramEnd"/>
            <w:r w:rsidRPr="00676DC2">
              <w:rPr>
                <w:rFonts w:ascii="標楷體" w:eastAsia="標楷體" w:hAnsi="標楷體" w:hint="eastAsia"/>
                <w:bCs/>
                <w:color w:val="000000" w:themeColor="text1"/>
                <w:sz w:val="24"/>
              </w:rPr>
              <w:t>有爭議時，行政程序法明訂應由其共同上級機關裁定之，鑒於「</w:t>
            </w:r>
            <w:proofErr w:type="gramStart"/>
            <w:r w:rsidRPr="00676DC2">
              <w:rPr>
                <w:rFonts w:ascii="標楷體" w:eastAsia="標楷體" w:hAnsi="標楷體" w:hint="eastAsia"/>
                <w:bCs/>
                <w:color w:val="000000" w:themeColor="text1"/>
                <w:sz w:val="24"/>
              </w:rPr>
              <w:t>文化部應會同</w:t>
            </w:r>
            <w:proofErr w:type="gramEnd"/>
            <w:r w:rsidRPr="00676DC2">
              <w:rPr>
                <w:rFonts w:ascii="標楷體" w:eastAsia="標楷體" w:hAnsi="標楷體" w:hint="eastAsia"/>
                <w:bCs/>
                <w:color w:val="000000" w:themeColor="text1"/>
                <w:sz w:val="24"/>
              </w:rPr>
              <w:t>國家通訊傳播委員會訂定動員實施階段</w:t>
            </w:r>
            <w:r w:rsidRPr="00676DC2">
              <w:rPr>
                <w:rFonts w:ascii="標楷體" w:eastAsia="標楷體" w:hAnsi="標楷體" w:hint="eastAsia"/>
                <w:bCs/>
                <w:color w:val="000000" w:themeColor="text1"/>
                <w:sz w:val="24"/>
              </w:rPr>
              <w:lastRenderedPageBreak/>
              <w:t>大眾傳播事業及從業人員管制辦法」之修正文字，係</w:t>
            </w:r>
            <w:r w:rsidR="00E44981" w:rsidRPr="00676DC2">
              <w:rPr>
                <w:rFonts w:ascii="標楷體" w:eastAsia="標楷體" w:hAnsi="標楷體" w:hint="eastAsia"/>
                <w:bCs/>
                <w:color w:val="000000" w:themeColor="text1"/>
                <w:sz w:val="24"/>
              </w:rPr>
              <w:t>一百零三</w:t>
            </w:r>
            <w:r w:rsidRPr="00676DC2">
              <w:rPr>
                <w:rFonts w:ascii="標楷體" w:eastAsia="標楷體" w:hAnsi="標楷體" w:hint="eastAsia"/>
                <w:bCs/>
                <w:color w:val="000000" w:themeColor="text1"/>
                <w:sz w:val="24"/>
              </w:rPr>
              <w:t>年行政院政務委員主持協調會議所獲致之結論，故建議應依此結論辦理為宜，不宜修正或推翻上級機關已作之裁定。</w:t>
            </w:r>
          </w:p>
        </w:tc>
      </w:tr>
      <w:tr w:rsidR="002B1442" w:rsidRPr="00E161EF" w:rsidTr="00C541A9">
        <w:trPr>
          <w:trHeight w:val="1084"/>
        </w:trPr>
        <w:tc>
          <w:tcPr>
            <w:tcW w:w="1668" w:type="pct"/>
            <w:tcBorders>
              <w:top w:val="single" w:sz="4" w:space="0" w:color="auto"/>
              <w:left w:val="single" w:sz="4" w:space="0" w:color="auto"/>
              <w:bottom w:val="single" w:sz="4" w:space="0" w:color="auto"/>
              <w:right w:val="single" w:sz="4" w:space="0" w:color="auto"/>
            </w:tcBorders>
          </w:tcPr>
          <w:p w:rsidR="002B1442" w:rsidRPr="00C541A9" w:rsidRDefault="002B1442" w:rsidP="00C541A9">
            <w:pPr>
              <w:tabs>
                <w:tab w:val="left" w:pos="480"/>
              </w:tabs>
              <w:ind w:leftChars="1" w:left="199" w:hangingChars="82" w:hanging="197"/>
              <w:jc w:val="both"/>
              <w:rPr>
                <w:rFonts w:ascii="標楷體" w:eastAsia="標楷體" w:hAnsi="標楷體"/>
                <w:bCs/>
                <w:color w:val="000000"/>
                <w:sz w:val="24"/>
              </w:rPr>
            </w:pPr>
            <w:r w:rsidRPr="00C541A9">
              <w:rPr>
                <w:rFonts w:ascii="標楷體" w:eastAsia="標楷體" w:hAnsi="標楷體" w:hint="eastAsia"/>
                <w:bCs/>
                <w:color w:val="000000"/>
                <w:sz w:val="24"/>
              </w:rPr>
              <w:lastRenderedPageBreak/>
              <w:t>第</w:t>
            </w:r>
            <w:r>
              <w:rPr>
                <w:rFonts w:ascii="標楷體" w:eastAsia="標楷體" w:hAnsi="標楷體" w:hint="eastAsia"/>
                <w:bCs/>
                <w:color w:val="000000"/>
                <w:sz w:val="24"/>
              </w:rPr>
              <w:t>二</w:t>
            </w:r>
            <w:r w:rsidRPr="00C541A9">
              <w:rPr>
                <w:rFonts w:ascii="標楷體" w:eastAsia="標楷體" w:hAnsi="標楷體" w:hint="eastAsia"/>
                <w:bCs/>
                <w:color w:val="000000"/>
                <w:sz w:val="24"/>
              </w:rPr>
              <w:t>十</w:t>
            </w:r>
            <w:r>
              <w:rPr>
                <w:rFonts w:ascii="標楷體" w:eastAsia="標楷體" w:hAnsi="標楷體" w:hint="eastAsia"/>
                <w:bCs/>
                <w:color w:val="000000"/>
                <w:sz w:val="24"/>
              </w:rPr>
              <w:t>一</w:t>
            </w:r>
            <w:r w:rsidRPr="00C541A9">
              <w:rPr>
                <w:rFonts w:ascii="標楷體" w:eastAsia="標楷體" w:hAnsi="標楷體" w:hint="eastAsia"/>
                <w:bCs/>
                <w:color w:val="000000"/>
                <w:sz w:val="24"/>
              </w:rPr>
              <w:t>條</w:t>
            </w:r>
            <w:r>
              <w:rPr>
                <w:rFonts w:ascii="標楷體" w:eastAsia="標楷體" w:hAnsi="標楷體" w:hint="eastAsia"/>
                <w:bCs/>
                <w:color w:val="000000"/>
                <w:sz w:val="24"/>
              </w:rPr>
              <w:t xml:space="preserve">  </w:t>
            </w:r>
            <w:r w:rsidRPr="00C541A9">
              <w:rPr>
                <w:rFonts w:ascii="標楷體" w:eastAsia="標楷體" w:hAnsi="標楷體"/>
                <w:bCs/>
                <w:color w:val="000000"/>
                <w:sz w:val="24"/>
              </w:rPr>
              <w:t>為強化動員實施階段通信能量，交通動員準備分類計畫主管機關應對於公、民營電信管制器材廠商、電信事業及專用電信設置者，實施調查、統計，並規劃辦理通信統一管制、設施安全防護等動員準備事項，完成通信動員實施階段作業準備。</w:t>
            </w:r>
          </w:p>
          <w:p w:rsidR="002B1442" w:rsidRPr="00C541A9" w:rsidRDefault="002B1442" w:rsidP="006B3F0C">
            <w:pPr>
              <w:tabs>
                <w:tab w:val="left" w:pos="480"/>
              </w:tabs>
              <w:ind w:leftChars="83" w:left="199" w:firstLineChars="212" w:firstLine="509"/>
              <w:jc w:val="both"/>
              <w:rPr>
                <w:rFonts w:ascii="標楷體" w:eastAsia="標楷體" w:hAnsi="標楷體"/>
                <w:bCs/>
                <w:color w:val="000000"/>
                <w:sz w:val="24"/>
              </w:rPr>
            </w:pPr>
            <w:r w:rsidRPr="00C541A9">
              <w:rPr>
                <w:rFonts w:ascii="標楷體" w:eastAsia="標楷體" w:hAnsi="標楷體"/>
                <w:bCs/>
                <w:color w:val="000000"/>
                <w:sz w:val="24"/>
              </w:rPr>
              <w:t>前項調查，公、民營電信管制器材廠商、電信事業及專用電信設置者應配合辦理，並提供相關動員能量資料。</w:t>
            </w:r>
          </w:p>
          <w:p w:rsidR="002B1442" w:rsidRPr="006741FF" w:rsidRDefault="006B3F0C" w:rsidP="006B3F0C">
            <w:pPr>
              <w:tabs>
                <w:tab w:val="left" w:pos="480"/>
              </w:tabs>
              <w:ind w:leftChars="83" w:left="199" w:firstLineChars="153" w:firstLine="367"/>
              <w:jc w:val="both"/>
              <w:rPr>
                <w:rFonts w:ascii="標楷體" w:eastAsia="標楷體" w:hAnsi="標楷體"/>
                <w:bCs/>
                <w:color w:val="000000"/>
              </w:rPr>
            </w:pPr>
            <w:r>
              <w:rPr>
                <w:rFonts w:ascii="標楷體" w:eastAsia="標楷體" w:hAnsi="標楷體" w:hint="eastAsia"/>
                <w:bCs/>
                <w:color w:val="000000"/>
                <w:sz w:val="24"/>
              </w:rPr>
              <w:t xml:space="preserve"> </w:t>
            </w:r>
            <w:r w:rsidR="002B1442" w:rsidRPr="00C541A9">
              <w:rPr>
                <w:rFonts w:ascii="標楷體" w:eastAsia="標楷體" w:hAnsi="標楷體"/>
                <w:bCs/>
                <w:color w:val="000000"/>
                <w:sz w:val="24"/>
              </w:rPr>
              <w:t>有關戰備各階段公、民營通信設施支援軍事管制運用辦法，由國防部會同</w:t>
            </w:r>
            <w:r w:rsidR="002B1442" w:rsidRPr="00C541A9">
              <w:rPr>
                <w:rFonts w:ascii="標楷體" w:eastAsia="標楷體" w:hAnsi="標楷體" w:hint="eastAsia"/>
                <w:bCs/>
                <w:color w:val="0070C0"/>
                <w:sz w:val="24"/>
                <w:u w:val="single"/>
              </w:rPr>
              <w:t>國家通訊傳播委員會</w:t>
            </w:r>
            <w:r w:rsidR="002B1442" w:rsidRPr="00C541A9">
              <w:rPr>
                <w:rFonts w:ascii="標楷體" w:eastAsia="標楷體" w:hAnsi="標楷體"/>
                <w:bCs/>
                <w:color w:val="000000"/>
                <w:sz w:val="24"/>
              </w:rPr>
              <w:t>定之。</w:t>
            </w:r>
          </w:p>
        </w:tc>
        <w:tc>
          <w:tcPr>
            <w:tcW w:w="1620" w:type="pct"/>
            <w:tcBorders>
              <w:top w:val="single" w:sz="4" w:space="0" w:color="auto"/>
              <w:left w:val="single" w:sz="4" w:space="0" w:color="auto"/>
              <w:bottom w:val="single" w:sz="4" w:space="0" w:color="auto"/>
              <w:right w:val="single" w:sz="4" w:space="0" w:color="auto"/>
            </w:tcBorders>
          </w:tcPr>
          <w:p w:rsidR="002B1442" w:rsidRPr="00C541A9" w:rsidRDefault="002B1442" w:rsidP="00C541A9">
            <w:pPr>
              <w:tabs>
                <w:tab w:val="left" w:pos="480"/>
              </w:tabs>
              <w:ind w:leftChars="1" w:left="199" w:hangingChars="82" w:hanging="197"/>
              <w:jc w:val="both"/>
              <w:rPr>
                <w:rFonts w:ascii="標楷體" w:eastAsia="標楷體" w:hAnsi="標楷體"/>
                <w:bCs/>
                <w:color w:val="000000"/>
                <w:sz w:val="24"/>
              </w:rPr>
            </w:pPr>
            <w:r w:rsidRPr="00C541A9">
              <w:rPr>
                <w:rFonts w:ascii="標楷體" w:eastAsia="標楷體" w:hAnsi="標楷體" w:hint="eastAsia"/>
                <w:bCs/>
                <w:color w:val="000000"/>
                <w:sz w:val="24"/>
              </w:rPr>
              <w:t>第</w:t>
            </w:r>
            <w:r>
              <w:rPr>
                <w:rFonts w:ascii="標楷體" w:eastAsia="標楷體" w:hAnsi="標楷體" w:hint="eastAsia"/>
                <w:bCs/>
                <w:color w:val="000000"/>
                <w:sz w:val="24"/>
              </w:rPr>
              <w:t>二</w:t>
            </w:r>
            <w:r w:rsidRPr="00C541A9">
              <w:rPr>
                <w:rFonts w:ascii="標楷體" w:eastAsia="標楷體" w:hAnsi="標楷體" w:hint="eastAsia"/>
                <w:bCs/>
                <w:color w:val="000000"/>
                <w:sz w:val="24"/>
              </w:rPr>
              <w:t>十</w:t>
            </w:r>
            <w:r>
              <w:rPr>
                <w:rFonts w:ascii="標楷體" w:eastAsia="標楷體" w:hAnsi="標楷體" w:hint="eastAsia"/>
                <w:bCs/>
                <w:color w:val="000000"/>
                <w:sz w:val="24"/>
              </w:rPr>
              <w:t>一</w:t>
            </w:r>
            <w:r w:rsidRPr="00C541A9">
              <w:rPr>
                <w:rFonts w:ascii="標楷體" w:eastAsia="標楷體" w:hAnsi="標楷體" w:hint="eastAsia"/>
                <w:bCs/>
                <w:color w:val="000000"/>
                <w:sz w:val="24"/>
              </w:rPr>
              <w:t>條</w:t>
            </w:r>
            <w:r>
              <w:rPr>
                <w:rFonts w:ascii="標楷體" w:eastAsia="標楷體" w:hAnsi="標楷體" w:hint="eastAsia"/>
                <w:bCs/>
                <w:color w:val="000000"/>
                <w:sz w:val="24"/>
              </w:rPr>
              <w:t xml:space="preserve">  </w:t>
            </w:r>
            <w:r w:rsidRPr="00C541A9">
              <w:rPr>
                <w:rFonts w:ascii="標楷體" w:eastAsia="標楷體" w:hAnsi="標楷體"/>
                <w:bCs/>
                <w:color w:val="000000"/>
                <w:sz w:val="24"/>
              </w:rPr>
              <w:t>為強化動員實施階段通信能量，交通動員準備分類計畫主管機關應對於公、民營電信管制器材廠商、電信事業及專用電信設置者，實施調查、統計，並規劃辦理通信統一管制、設施安全防護等動員準備事項，完成通信動員實施階段作業準備。</w:t>
            </w:r>
          </w:p>
          <w:p w:rsidR="002B1442" w:rsidRPr="00C541A9" w:rsidRDefault="002B1442" w:rsidP="00C541A9">
            <w:pPr>
              <w:tabs>
                <w:tab w:val="left" w:pos="480"/>
              </w:tabs>
              <w:ind w:leftChars="83" w:left="199" w:firstLineChars="241" w:firstLine="578"/>
              <w:jc w:val="both"/>
              <w:rPr>
                <w:rFonts w:ascii="標楷體" w:eastAsia="標楷體" w:hAnsi="標楷體"/>
                <w:bCs/>
                <w:color w:val="000000"/>
                <w:sz w:val="24"/>
              </w:rPr>
            </w:pPr>
            <w:r w:rsidRPr="00C541A9">
              <w:rPr>
                <w:rFonts w:ascii="標楷體" w:eastAsia="標楷體" w:hAnsi="標楷體"/>
                <w:bCs/>
                <w:color w:val="000000"/>
                <w:sz w:val="24"/>
              </w:rPr>
              <w:t>前項調查，公、民營電信管制器材廠商、電信事業及專用電信設置者應配合辦理，並提供相關動員能量資料。</w:t>
            </w:r>
          </w:p>
          <w:p w:rsidR="002B1442" w:rsidRPr="006741FF" w:rsidRDefault="002B1442" w:rsidP="00C541A9">
            <w:pPr>
              <w:tabs>
                <w:tab w:val="left" w:pos="480"/>
              </w:tabs>
              <w:ind w:leftChars="83" w:left="199" w:firstLineChars="241" w:firstLine="578"/>
              <w:jc w:val="both"/>
              <w:rPr>
                <w:rFonts w:ascii="標楷體" w:eastAsia="標楷體" w:hAnsi="標楷體"/>
                <w:bCs/>
                <w:color w:val="000000"/>
              </w:rPr>
            </w:pPr>
            <w:r w:rsidRPr="00C541A9">
              <w:rPr>
                <w:rFonts w:ascii="標楷體" w:eastAsia="標楷體" w:hAnsi="標楷體"/>
                <w:bCs/>
                <w:color w:val="000000"/>
                <w:sz w:val="24"/>
              </w:rPr>
              <w:t>有關戰備各階段公、民營通信設施支援軍事管制運用辦法，由國防部會同交通部定之。</w:t>
            </w:r>
          </w:p>
        </w:tc>
        <w:tc>
          <w:tcPr>
            <w:tcW w:w="1712" w:type="pct"/>
            <w:tcBorders>
              <w:top w:val="single" w:sz="4" w:space="0" w:color="auto"/>
              <w:left w:val="single" w:sz="4" w:space="0" w:color="auto"/>
              <w:bottom w:val="single" w:sz="4" w:space="0" w:color="auto"/>
              <w:right w:val="single" w:sz="4" w:space="0" w:color="auto"/>
            </w:tcBorders>
          </w:tcPr>
          <w:p w:rsidR="002C30B4" w:rsidRPr="00676DC2" w:rsidRDefault="002C30B4" w:rsidP="002C30B4">
            <w:pPr>
              <w:ind w:leftChars="-45" w:left="456" w:hangingChars="235" w:hanging="564"/>
              <w:jc w:val="both"/>
              <w:rPr>
                <w:rFonts w:ascii="標楷體" w:eastAsia="標楷體" w:hAnsi="標楷體"/>
                <w:bCs/>
                <w:color w:val="000000" w:themeColor="text1"/>
                <w:sz w:val="24"/>
              </w:rPr>
            </w:pPr>
            <w:r w:rsidRPr="00676DC2">
              <w:rPr>
                <w:rFonts w:ascii="標楷體" w:eastAsia="標楷體" w:hAnsi="標楷體" w:hint="eastAsia"/>
                <w:bCs/>
                <w:color w:val="000000" w:themeColor="text1"/>
                <w:sz w:val="24"/>
              </w:rPr>
              <w:t>一、第一項及第二項未修正。</w:t>
            </w:r>
          </w:p>
          <w:p w:rsidR="002C30B4" w:rsidRPr="00676DC2" w:rsidRDefault="002C30B4" w:rsidP="002C30B4">
            <w:pPr>
              <w:ind w:leftChars="-45" w:left="458" w:hangingChars="236" w:hanging="566"/>
              <w:jc w:val="both"/>
              <w:rPr>
                <w:rFonts w:ascii="標楷體" w:eastAsia="標楷體" w:hAnsi="標楷體"/>
                <w:bCs/>
                <w:color w:val="000000" w:themeColor="text1"/>
              </w:rPr>
            </w:pPr>
            <w:r w:rsidRPr="00676DC2">
              <w:rPr>
                <w:rFonts w:ascii="標楷體" w:eastAsia="標楷體" w:hAnsi="標楷體" w:hint="eastAsia"/>
                <w:bCs/>
                <w:color w:val="000000" w:themeColor="text1"/>
                <w:sz w:val="24"/>
              </w:rPr>
              <w:t>二、第三項有關戰備各階段公、民營通信設施支援軍事管制運用辦法，由「國防部會同交通部定之」修正為「由國防部會同國家通訊傳播委員會定之」。</w:t>
            </w:r>
          </w:p>
        </w:tc>
      </w:tr>
      <w:tr w:rsidR="00676DC2" w:rsidRPr="00676DC2" w:rsidTr="003C7583">
        <w:trPr>
          <w:trHeight w:val="707"/>
        </w:trPr>
        <w:tc>
          <w:tcPr>
            <w:tcW w:w="1668" w:type="pct"/>
            <w:tcBorders>
              <w:top w:val="single" w:sz="4" w:space="0" w:color="auto"/>
              <w:left w:val="single" w:sz="4" w:space="0" w:color="auto"/>
              <w:bottom w:val="single" w:sz="4" w:space="0" w:color="auto"/>
              <w:right w:val="single" w:sz="4" w:space="0" w:color="auto"/>
            </w:tcBorders>
          </w:tcPr>
          <w:p w:rsidR="002B1442" w:rsidRPr="006741FF" w:rsidRDefault="002B1442" w:rsidP="00A566B1">
            <w:pPr>
              <w:tabs>
                <w:tab w:val="left" w:pos="480"/>
              </w:tabs>
              <w:ind w:left="240" w:hangingChars="100" w:hanging="240"/>
              <w:jc w:val="both"/>
              <w:rPr>
                <w:rFonts w:ascii="標楷體" w:eastAsia="標楷體" w:hAnsi="標楷體"/>
                <w:bCs/>
                <w:color w:val="000000"/>
                <w:sz w:val="24"/>
              </w:rPr>
            </w:pPr>
            <w:r w:rsidRPr="006741FF">
              <w:rPr>
                <w:rFonts w:ascii="標楷體" w:eastAsia="標楷體" w:hAnsi="標楷體" w:hint="eastAsia"/>
                <w:bCs/>
                <w:color w:val="000000"/>
                <w:sz w:val="24"/>
              </w:rPr>
              <w:t>第二十三條  為因應戰爭、災害需求，直轄市及縣 (市) 政府衛生主管機關應結合施政，輔導公、民營醫院完成重要外傷用藥品</w:t>
            </w:r>
            <w:proofErr w:type="gramStart"/>
            <w:r w:rsidRPr="006741FF">
              <w:rPr>
                <w:rFonts w:ascii="標楷體" w:eastAsia="標楷體" w:hAnsi="標楷體" w:hint="eastAsia"/>
                <w:bCs/>
                <w:color w:val="000000"/>
                <w:sz w:val="24"/>
              </w:rPr>
              <w:t>醫</w:t>
            </w:r>
            <w:proofErr w:type="gramEnd"/>
            <w:r w:rsidRPr="006741FF">
              <w:rPr>
                <w:rFonts w:ascii="標楷體" w:eastAsia="標楷體" w:hAnsi="標楷體" w:hint="eastAsia"/>
                <w:bCs/>
                <w:color w:val="000000"/>
                <w:sz w:val="24"/>
              </w:rPr>
              <w:t>材儲備。</w:t>
            </w:r>
          </w:p>
          <w:p w:rsidR="002B1442" w:rsidRPr="006741FF" w:rsidRDefault="002B1442" w:rsidP="00A566B1">
            <w:pPr>
              <w:tabs>
                <w:tab w:val="left" w:pos="480"/>
              </w:tabs>
              <w:ind w:leftChars="83" w:left="199" w:firstLineChars="241" w:firstLine="578"/>
              <w:jc w:val="both"/>
              <w:rPr>
                <w:rFonts w:ascii="標楷體" w:eastAsia="標楷體" w:hAnsi="標楷體"/>
                <w:bCs/>
                <w:color w:val="000000"/>
                <w:sz w:val="24"/>
              </w:rPr>
            </w:pPr>
            <w:r w:rsidRPr="006741FF">
              <w:rPr>
                <w:rFonts w:ascii="標楷體" w:eastAsia="標楷體" w:hAnsi="標楷體" w:hint="eastAsia"/>
                <w:bCs/>
                <w:color w:val="000000"/>
                <w:sz w:val="24"/>
              </w:rPr>
              <w:lastRenderedPageBreak/>
              <w:t>對於前項重要外傷用藥品</w:t>
            </w:r>
            <w:proofErr w:type="gramStart"/>
            <w:r w:rsidRPr="006741FF">
              <w:rPr>
                <w:rFonts w:ascii="標楷體" w:eastAsia="標楷體" w:hAnsi="標楷體" w:hint="eastAsia"/>
                <w:bCs/>
                <w:color w:val="000000"/>
                <w:sz w:val="24"/>
              </w:rPr>
              <w:t>醫</w:t>
            </w:r>
            <w:proofErr w:type="gramEnd"/>
            <w:r w:rsidRPr="006741FF">
              <w:rPr>
                <w:rFonts w:ascii="標楷體" w:eastAsia="標楷體" w:hAnsi="標楷體" w:hint="eastAsia"/>
                <w:bCs/>
                <w:color w:val="000000"/>
                <w:sz w:val="24"/>
              </w:rPr>
              <w:t>材儲備，各公、民營醫院應配合辦理。</w:t>
            </w:r>
          </w:p>
          <w:p w:rsidR="002B1442" w:rsidRPr="006741FF" w:rsidRDefault="002B1442" w:rsidP="00A566B1">
            <w:pPr>
              <w:tabs>
                <w:tab w:val="left" w:pos="480"/>
              </w:tabs>
              <w:ind w:leftChars="83" w:left="199" w:firstLineChars="200" w:firstLine="480"/>
              <w:jc w:val="both"/>
              <w:rPr>
                <w:rFonts w:ascii="標楷體" w:eastAsia="標楷體" w:hAnsi="標楷體"/>
                <w:bCs/>
                <w:color w:val="000000"/>
                <w:sz w:val="24"/>
                <w:u w:val="single"/>
              </w:rPr>
            </w:pPr>
            <w:r w:rsidRPr="006741FF">
              <w:rPr>
                <w:rFonts w:ascii="標楷體" w:eastAsia="標楷體" w:hAnsi="標楷體" w:hint="eastAsia"/>
                <w:bCs/>
                <w:color w:val="000000"/>
                <w:sz w:val="24"/>
              </w:rPr>
              <w:t>有關藥品</w:t>
            </w:r>
            <w:proofErr w:type="gramStart"/>
            <w:r w:rsidRPr="006741FF">
              <w:rPr>
                <w:rFonts w:ascii="標楷體" w:eastAsia="標楷體" w:hAnsi="標楷體" w:hint="eastAsia"/>
                <w:bCs/>
                <w:color w:val="000000"/>
                <w:sz w:val="24"/>
              </w:rPr>
              <w:t>醫</w:t>
            </w:r>
            <w:proofErr w:type="gramEnd"/>
            <w:r w:rsidRPr="006741FF">
              <w:rPr>
                <w:rFonts w:ascii="標楷體" w:eastAsia="標楷體" w:hAnsi="標楷體" w:hint="eastAsia"/>
                <w:bCs/>
                <w:color w:val="000000"/>
                <w:sz w:val="24"/>
              </w:rPr>
              <w:t>材儲備之品項、數量、更新及動員管制之辦法，由</w:t>
            </w:r>
            <w:r w:rsidRPr="008C756A">
              <w:rPr>
                <w:rFonts w:ascii="標楷體" w:eastAsia="標楷體" w:hAnsi="標楷體" w:hint="eastAsia"/>
                <w:b/>
                <w:bCs/>
                <w:color w:val="0070C0"/>
                <w:sz w:val="24"/>
                <w:u w:val="single"/>
              </w:rPr>
              <w:t>衛生福利部</w:t>
            </w:r>
            <w:r w:rsidRPr="006741FF">
              <w:rPr>
                <w:rFonts w:ascii="標楷體" w:eastAsia="標楷體" w:hAnsi="標楷體" w:hint="eastAsia"/>
                <w:bCs/>
                <w:color w:val="000000"/>
                <w:sz w:val="24"/>
              </w:rPr>
              <w:t>會同國防部定之。</w:t>
            </w:r>
          </w:p>
        </w:tc>
        <w:tc>
          <w:tcPr>
            <w:tcW w:w="1620" w:type="pct"/>
            <w:tcBorders>
              <w:top w:val="single" w:sz="4" w:space="0" w:color="auto"/>
              <w:left w:val="single" w:sz="4" w:space="0" w:color="auto"/>
              <w:bottom w:val="single" w:sz="4" w:space="0" w:color="auto"/>
              <w:right w:val="single" w:sz="4" w:space="0" w:color="auto"/>
            </w:tcBorders>
          </w:tcPr>
          <w:p w:rsidR="002B1442" w:rsidRPr="006741FF" w:rsidRDefault="002B1442" w:rsidP="00A566B1">
            <w:pPr>
              <w:tabs>
                <w:tab w:val="left" w:pos="480"/>
              </w:tabs>
              <w:ind w:left="240" w:hangingChars="100" w:hanging="240"/>
              <w:jc w:val="both"/>
              <w:rPr>
                <w:rFonts w:ascii="標楷體" w:eastAsia="標楷體" w:hAnsi="標楷體"/>
                <w:bCs/>
                <w:color w:val="000000"/>
                <w:sz w:val="24"/>
              </w:rPr>
            </w:pPr>
            <w:r w:rsidRPr="006741FF">
              <w:rPr>
                <w:rFonts w:ascii="標楷體" w:eastAsia="標楷體" w:hAnsi="標楷體" w:hint="eastAsia"/>
                <w:bCs/>
                <w:color w:val="000000"/>
                <w:sz w:val="24"/>
              </w:rPr>
              <w:lastRenderedPageBreak/>
              <w:t>第二十三條  為因應戰爭、災害需求，直轄市及縣 (市) 政府衛生主管機關應結合施政，輔導公、民營醫院完成重要外傷用藥品</w:t>
            </w:r>
            <w:proofErr w:type="gramStart"/>
            <w:r w:rsidRPr="006741FF">
              <w:rPr>
                <w:rFonts w:ascii="標楷體" w:eastAsia="標楷體" w:hAnsi="標楷體" w:hint="eastAsia"/>
                <w:bCs/>
                <w:color w:val="000000"/>
                <w:sz w:val="24"/>
              </w:rPr>
              <w:t>醫</w:t>
            </w:r>
            <w:proofErr w:type="gramEnd"/>
            <w:r w:rsidRPr="006741FF">
              <w:rPr>
                <w:rFonts w:ascii="標楷體" w:eastAsia="標楷體" w:hAnsi="標楷體" w:hint="eastAsia"/>
                <w:bCs/>
                <w:color w:val="000000"/>
                <w:sz w:val="24"/>
              </w:rPr>
              <w:t>材儲</w:t>
            </w:r>
            <w:r w:rsidRPr="006741FF">
              <w:rPr>
                <w:rFonts w:ascii="標楷體" w:eastAsia="標楷體" w:hAnsi="標楷體" w:hint="eastAsia"/>
                <w:bCs/>
                <w:color w:val="000000"/>
                <w:sz w:val="24"/>
              </w:rPr>
              <w:lastRenderedPageBreak/>
              <w:t>備。</w:t>
            </w:r>
          </w:p>
          <w:p w:rsidR="002B1442" w:rsidRPr="006741FF" w:rsidRDefault="002B1442" w:rsidP="00A566B1">
            <w:pPr>
              <w:tabs>
                <w:tab w:val="left" w:pos="480"/>
              </w:tabs>
              <w:ind w:leftChars="83" w:left="199" w:firstLineChars="241" w:firstLine="578"/>
              <w:jc w:val="both"/>
              <w:rPr>
                <w:rFonts w:ascii="標楷體" w:eastAsia="標楷體" w:hAnsi="標楷體"/>
                <w:bCs/>
                <w:color w:val="000000"/>
                <w:sz w:val="24"/>
              </w:rPr>
            </w:pPr>
            <w:r w:rsidRPr="006741FF">
              <w:rPr>
                <w:rFonts w:ascii="標楷體" w:eastAsia="標楷體" w:hAnsi="標楷體" w:hint="eastAsia"/>
                <w:bCs/>
                <w:color w:val="000000"/>
                <w:sz w:val="24"/>
              </w:rPr>
              <w:t>對於前項重要外傷用藥品</w:t>
            </w:r>
            <w:proofErr w:type="gramStart"/>
            <w:r w:rsidRPr="006741FF">
              <w:rPr>
                <w:rFonts w:ascii="標楷體" w:eastAsia="標楷體" w:hAnsi="標楷體" w:hint="eastAsia"/>
                <w:bCs/>
                <w:color w:val="000000"/>
                <w:sz w:val="24"/>
              </w:rPr>
              <w:t>醫</w:t>
            </w:r>
            <w:proofErr w:type="gramEnd"/>
            <w:r w:rsidRPr="006741FF">
              <w:rPr>
                <w:rFonts w:ascii="標楷體" w:eastAsia="標楷體" w:hAnsi="標楷體" w:hint="eastAsia"/>
                <w:bCs/>
                <w:color w:val="000000"/>
                <w:sz w:val="24"/>
              </w:rPr>
              <w:t>材儲備，各公、民營醫院應配合辦理。</w:t>
            </w:r>
          </w:p>
          <w:p w:rsidR="002B1442" w:rsidRPr="006741FF" w:rsidRDefault="002B1442" w:rsidP="00A566B1">
            <w:pPr>
              <w:tabs>
                <w:tab w:val="left" w:pos="480"/>
              </w:tabs>
              <w:ind w:leftChars="83" w:left="199" w:firstLineChars="241" w:firstLine="578"/>
              <w:jc w:val="both"/>
              <w:rPr>
                <w:rFonts w:ascii="標楷體" w:eastAsia="標楷體" w:hAnsi="標楷體"/>
                <w:bCs/>
                <w:color w:val="000000"/>
                <w:sz w:val="24"/>
              </w:rPr>
            </w:pPr>
            <w:r w:rsidRPr="006741FF">
              <w:rPr>
                <w:rFonts w:ascii="標楷體" w:eastAsia="標楷體" w:hAnsi="標楷體" w:hint="eastAsia"/>
                <w:bCs/>
                <w:color w:val="000000"/>
                <w:sz w:val="24"/>
              </w:rPr>
              <w:t>有關藥品</w:t>
            </w:r>
            <w:proofErr w:type="gramStart"/>
            <w:r w:rsidRPr="006741FF">
              <w:rPr>
                <w:rFonts w:ascii="標楷體" w:eastAsia="標楷體" w:hAnsi="標楷體" w:hint="eastAsia"/>
                <w:bCs/>
                <w:color w:val="000000"/>
                <w:sz w:val="24"/>
              </w:rPr>
              <w:t>醫</w:t>
            </w:r>
            <w:proofErr w:type="gramEnd"/>
            <w:r w:rsidRPr="006741FF">
              <w:rPr>
                <w:rFonts w:ascii="標楷體" w:eastAsia="標楷體" w:hAnsi="標楷體" w:hint="eastAsia"/>
                <w:bCs/>
                <w:color w:val="000000"/>
                <w:sz w:val="24"/>
              </w:rPr>
              <w:t>材儲備之品項、數量、更新及動員管制之辦法，由行政院衛生署會同國防部定之。</w:t>
            </w:r>
          </w:p>
        </w:tc>
        <w:tc>
          <w:tcPr>
            <w:tcW w:w="1712" w:type="pct"/>
            <w:tcBorders>
              <w:top w:val="single" w:sz="4" w:space="0" w:color="auto"/>
              <w:left w:val="single" w:sz="4" w:space="0" w:color="auto"/>
              <w:bottom w:val="single" w:sz="4" w:space="0" w:color="auto"/>
              <w:right w:val="single" w:sz="4" w:space="0" w:color="auto"/>
            </w:tcBorders>
          </w:tcPr>
          <w:p w:rsidR="006E4F78" w:rsidRPr="00676DC2" w:rsidRDefault="006E4F78" w:rsidP="006E4F78">
            <w:pPr>
              <w:ind w:leftChars="-45" w:left="456" w:hangingChars="235" w:hanging="564"/>
              <w:jc w:val="both"/>
              <w:rPr>
                <w:rFonts w:ascii="標楷體" w:eastAsia="標楷體" w:hAnsi="標楷體"/>
                <w:bCs/>
                <w:color w:val="000000" w:themeColor="text1"/>
                <w:sz w:val="24"/>
              </w:rPr>
            </w:pPr>
            <w:r w:rsidRPr="00676DC2">
              <w:rPr>
                <w:rFonts w:ascii="標楷體" w:eastAsia="標楷體" w:hAnsi="標楷體" w:hint="eastAsia"/>
                <w:bCs/>
                <w:color w:val="000000" w:themeColor="text1"/>
                <w:sz w:val="24"/>
              </w:rPr>
              <w:lastRenderedPageBreak/>
              <w:t>一、第一項及第二項未修正。</w:t>
            </w:r>
          </w:p>
          <w:p w:rsidR="002B1442" w:rsidRPr="00676DC2" w:rsidRDefault="006E4F78" w:rsidP="006E4F78">
            <w:pPr>
              <w:ind w:leftChars="-45" w:left="456" w:hangingChars="235" w:hanging="564"/>
              <w:jc w:val="both"/>
              <w:rPr>
                <w:rFonts w:ascii="標楷體" w:eastAsia="標楷體" w:hAnsi="標楷體"/>
                <w:bCs/>
                <w:color w:val="000000" w:themeColor="text1"/>
                <w:sz w:val="24"/>
              </w:rPr>
            </w:pPr>
            <w:r w:rsidRPr="00676DC2">
              <w:rPr>
                <w:rFonts w:ascii="標楷體" w:eastAsia="標楷體" w:hAnsi="標楷體" w:hint="eastAsia"/>
                <w:bCs/>
                <w:color w:val="000000" w:themeColor="text1"/>
                <w:sz w:val="24"/>
              </w:rPr>
              <w:t>二、第三項配合</w:t>
            </w:r>
            <w:proofErr w:type="gramStart"/>
            <w:r w:rsidRPr="00676DC2">
              <w:rPr>
                <w:rFonts w:ascii="標楷體" w:eastAsia="標楷體" w:hAnsi="標楷體" w:hint="eastAsia"/>
                <w:bCs/>
                <w:color w:val="000000" w:themeColor="text1"/>
                <w:sz w:val="24"/>
              </w:rPr>
              <w:t>行政院組改</w:t>
            </w:r>
            <w:proofErr w:type="gramEnd"/>
            <w:r w:rsidRPr="00676DC2">
              <w:rPr>
                <w:rFonts w:ascii="標楷體" w:eastAsia="標楷體" w:hAnsi="標楷體" w:hint="eastAsia"/>
                <w:bCs/>
                <w:color w:val="000000" w:themeColor="text1"/>
                <w:sz w:val="24"/>
              </w:rPr>
              <w:t>，將「行政院衛生署」修正為「衛生福利部」。</w:t>
            </w:r>
          </w:p>
        </w:tc>
      </w:tr>
      <w:tr w:rsidR="002B1442" w:rsidRPr="00E161EF" w:rsidTr="00A07B5A">
        <w:trPr>
          <w:trHeight w:val="951"/>
        </w:trPr>
        <w:tc>
          <w:tcPr>
            <w:tcW w:w="1668" w:type="pct"/>
            <w:tcBorders>
              <w:top w:val="single" w:sz="4" w:space="0" w:color="auto"/>
              <w:left w:val="single" w:sz="4" w:space="0" w:color="auto"/>
              <w:bottom w:val="single" w:sz="4" w:space="0" w:color="auto"/>
              <w:right w:val="single" w:sz="4" w:space="0" w:color="auto"/>
            </w:tcBorders>
          </w:tcPr>
          <w:p w:rsidR="002B1442" w:rsidRPr="006741FF" w:rsidRDefault="002B1442" w:rsidP="0003608C">
            <w:pPr>
              <w:tabs>
                <w:tab w:val="left" w:pos="480"/>
              </w:tabs>
              <w:ind w:leftChars="1" w:left="283" w:hangingChars="117" w:hanging="281"/>
              <w:jc w:val="both"/>
              <w:rPr>
                <w:rFonts w:ascii="標楷體" w:eastAsia="標楷體" w:hAnsi="標楷體"/>
                <w:bCs/>
                <w:color w:val="000000"/>
                <w:sz w:val="24"/>
              </w:rPr>
            </w:pPr>
            <w:r w:rsidRPr="00A61FDA">
              <w:rPr>
                <w:rFonts w:ascii="標楷體" w:eastAsia="標楷體" w:hAnsi="標楷體" w:hint="eastAsia"/>
                <w:bCs/>
                <w:color w:val="000000"/>
                <w:sz w:val="24"/>
              </w:rPr>
              <w:lastRenderedPageBreak/>
              <w:t>第四章 動員演習及</w:t>
            </w:r>
            <w:r w:rsidRPr="008C756A">
              <w:rPr>
                <w:rFonts w:ascii="標楷體" w:eastAsia="標楷體" w:hAnsi="標楷體" w:hint="eastAsia"/>
                <w:b/>
                <w:bCs/>
                <w:color w:val="0070C0"/>
                <w:sz w:val="24"/>
                <w:u w:val="single"/>
              </w:rPr>
              <w:t>實施階段</w:t>
            </w:r>
            <w:r w:rsidRPr="00A61FDA">
              <w:rPr>
                <w:rFonts w:ascii="標楷體" w:eastAsia="標楷體" w:hAnsi="標楷體" w:hint="eastAsia"/>
                <w:bCs/>
                <w:color w:val="000000"/>
                <w:sz w:val="24"/>
              </w:rPr>
              <w:t>徵購、徵用與補償</w:t>
            </w:r>
          </w:p>
        </w:tc>
        <w:tc>
          <w:tcPr>
            <w:tcW w:w="1620" w:type="pct"/>
            <w:tcBorders>
              <w:top w:val="single" w:sz="4" w:space="0" w:color="auto"/>
              <w:left w:val="single" w:sz="4" w:space="0" w:color="auto"/>
              <w:bottom w:val="single" w:sz="4" w:space="0" w:color="auto"/>
              <w:right w:val="single" w:sz="4" w:space="0" w:color="auto"/>
            </w:tcBorders>
          </w:tcPr>
          <w:p w:rsidR="002B1442" w:rsidRPr="006741FF" w:rsidRDefault="002B1442" w:rsidP="00A61FDA">
            <w:pPr>
              <w:tabs>
                <w:tab w:val="left" w:pos="480"/>
              </w:tabs>
              <w:ind w:left="240" w:hangingChars="100" w:hanging="240"/>
              <w:jc w:val="both"/>
              <w:rPr>
                <w:rFonts w:ascii="標楷體" w:eastAsia="標楷體" w:hAnsi="標楷體"/>
                <w:bCs/>
                <w:color w:val="000000"/>
                <w:sz w:val="24"/>
              </w:rPr>
            </w:pPr>
            <w:r w:rsidRPr="005440C3">
              <w:rPr>
                <w:rFonts w:ascii="標楷體" w:eastAsia="標楷體" w:hAnsi="標楷體" w:hint="eastAsia"/>
                <w:bCs/>
                <w:color w:val="000000"/>
                <w:sz w:val="24"/>
              </w:rPr>
              <w:t>第四章 動員演習及徵購、徵用與補償</w:t>
            </w:r>
          </w:p>
        </w:tc>
        <w:tc>
          <w:tcPr>
            <w:tcW w:w="1712" w:type="pct"/>
            <w:tcBorders>
              <w:top w:val="single" w:sz="4" w:space="0" w:color="auto"/>
              <w:left w:val="single" w:sz="4" w:space="0" w:color="auto"/>
              <w:bottom w:val="single" w:sz="4" w:space="0" w:color="auto"/>
              <w:right w:val="single" w:sz="4" w:space="0" w:color="auto"/>
            </w:tcBorders>
          </w:tcPr>
          <w:p w:rsidR="002B1442" w:rsidRPr="00676DC2" w:rsidRDefault="008677D1" w:rsidP="00E15B72">
            <w:pPr>
              <w:jc w:val="both"/>
              <w:rPr>
                <w:rFonts w:ascii="標楷體" w:eastAsia="標楷體" w:hAnsi="標楷體"/>
                <w:bCs/>
                <w:color w:val="000000" w:themeColor="text1"/>
                <w:sz w:val="24"/>
              </w:rPr>
            </w:pPr>
            <w:r w:rsidRPr="00676DC2">
              <w:rPr>
                <w:rFonts w:ascii="標楷體" w:eastAsia="標楷體" w:hAnsi="標楷體" w:hint="eastAsia"/>
                <w:bCs/>
                <w:color w:val="000000" w:themeColor="text1"/>
                <w:sz w:val="24"/>
              </w:rPr>
              <w:t>配合第二十八條增訂動員實施階段實施徵購、徵用時，準用演習之規定，</w:t>
            </w:r>
            <w:bookmarkStart w:id="0" w:name="_GoBack"/>
            <w:bookmarkEnd w:id="0"/>
            <w:r w:rsidR="002B1442" w:rsidRPr="00676DC2">
              <w:rPr>
                <w:rFonts w:ascii="標楷體" w:eastAsia="標楷體" w:hAnsi="標楷體" w:hint="eastAsia"/>
                <w:bCs/>
                <w:color w:val="000000" w:themeColor="text1"/>
                <w:sz w:val="24"/>
              </w:rPr>
              <w:t>本章</w:t>
            </w:r>
            <w:r w:rsidRPr="00676DC2">
              <w:rPr>
                <w:rFonts w:ascii="標楷體" w:eastAsia="標楷體" w:hAnsi="標楷體" w:hint="eastAsia"/>
                <w:bCs/>
                <w:color w:val="000000" w:themeColor="text1"/>
                <w:sz w:val="24"/>
              </w:rPr>
              <w:t>章名</w:t>
            </w:r>
            <w:r w:rsidR="002B1442" w:rsidRPr="00676DC2">
              <w:rPr>
                <w:rFonts w:ascii="標楷體" w:eastAsia="標楷體" w:hAnsi="標楷體" w:hint="eastAsia"/>
                <w:bCs/>
                <w:color w:val="000000" w:themeColor="text1"/>
                <w:sz w:val="24"/>
              </w:rPr>
              <w:t>增</w:t>
            </w:r>
            <w:r w:rsidRPr="00676DC2">
              <w:rPr>
                <w:rFonts w:ascii="標楷體" w:eastAsia="標楷體" w:hAnsi="標楷體" w:hint="eastAsia"/>
                <w:bCs/>
                <w:color w:val="000000" w:themeColor="text1"/>
                <w:sz w:val="24"/>
              </w:rPr>
              <w:t>列「</w:t>
            </w:r>
            <w:r w:rsidR="002B1442" w:rsidRPr="00676DC2">
              <w:rPr>
                <w:rFonts w:ascii="標楷體" w:eastAsia="標楷體" w:hAnsi="標楷體" w:hint="eastAsia"/>
                <w:bCs/>
                <w:color w:val="000000" w:themeColor="text1"/>
                <w:sz w:val="24"/>
              </w:rPr>
              <w:t>動員實施階段</w:t>
            </w:r>
            <w:r w:rsidRPr="00676DC2">
              <w:rPr>
                <w:rFonts w:ascii="標楷體" w:eastAsia="標楷體" w:hAnsi="標楷體" w:hint="eastAsia"/>
                <w:bCs/>
                <w:color w:val="000000" w:themeColor="text1"/>
                <w:sz w:val="24"/>
              </w:rPr>
              <w:t>」文字。</w:t>
            </w:r>
          </w:p>
        </w:tc>
      </w:tr>
      <w:tr w:rsidR="002B1442" w:rsidRPr="00E161EF" w:rsidTr="00A07B5A">
        <w:trPr>
          <w:trHeight w:val="1405"/>
        </w:trPr>
        <w:tc>
          <w:tcPr>
            <w:tcW w:w="1668" w:type="pct"/>
            <w:tcBorders>
              <w:top w:val="single" w:sz="4" w:space="0" w:color="auto"/>
              <w:left w:val="single" w:sz="4" w:space="0" w:color="auto"/>
              <w:bottom w:val="single" w:sz="4" w:space="0" w:color="auto"/>
              <w:right w:val="single" w:sz="4" w:space="0" w:color="auto"/>
            </w:tcBorders>
          </w:tcPr>
          <w:p w:rsidR="002B1442" w:rsidRPr="009B3386" w:rsidRDefault="002B1442" w:rsidP="009B3386">
            <w:pPr>
              <w:tabs>
                <w:tab w:val="left" w:pos="480"/>
              </w:tabs>
              <w:ind w:leftChars="1" w:left="283" w:hangingChars="117" w:hanging="281"/>
              <w:jc w:val="both"/>
              <w:rPr>
                <w:rFonts w:ascii="標楷體" w:eastAsia="標楷體" w:hAnsi="標楷體"/>
                <w:bCs/>
                <w:color w:val="000000"/>
                <w:sz w:val="24"/>
              </w:rPr>
            </w:pPr>
            <w:r w:rsidRPr="009B3386">
              <w:rPr>
                <w:rFonts w:ascii="標楷體" w:eastAsia="標楷體" w:hAnsi="標楷體" w:hint="eastAsia"/>
                <w:bCs/>
                <w:color w:val="000000"/>
                <w:sz w:val="24"/>
              </w:rPr>
              <w:t>第二十八條  主辦演習機關得因演習實際需要，徵購、徵用人民之財物及徵用操作該財物之人員；徵用並應給與相當之補償。演習需民間財物配合參演時，亦得以契約方式辦理。</w:t>
            </w:r>
          </w:p>
          <w:p w:rsidR="002B1442" w:rsidRDefault="002B1442" w:rsidP="009B3386">
            <w:pPr>
              <w:tabs>
                <w:tab w:val="left" w:pos="480"/>
              </w:tabs>
              <w:ind w:leftChars="1" w:left="283" w:hangingChars="117" w:hanging="281"/>
              <w:jc w:val="both"/>
              <w:rPr>
                <w:rFonts w:ascii="標楷體" w:eastAsia="標楷體" w:hAnsi="標楷體"/>
                <w:bCs/>
                <w:color w:val="000000"/>
                <w:sz w:val="24"/>
              </w:rPr>
            </w:pPr>
            <w:r w:rsidRPr="009B3386">
              <w:rPr>
                <w:rFonts w:ascii="標楷體" w:eastAsia="標楷體" w:hAnsi="標楷體" w:hint="eastAsia"/>
                <w:bCs/>
                <w:color w:val="000000"/>
                <w:sz w:val="24"/>
              </w:rPr>
              <w:t xml:space="preserve">      </w:t>
            </w:r>
            <w:r w:rsidR="006A669F">
              <w:rPr>
                <w:rFonts w:ascii="標楷體" w:eastAsia="標楷體" w:hAnsi="標楷體" w:hint="eastAsia"/>
                <w:bCs/>
                <w:color w:val="000000"/>
                <w:sz w:val="24"/>
              </w:rPr>
              <w:t>主辦演習機關</w:t>
            </w:r>
            <w:r w:rsidRPr="009B3386">
              <w:rPr>
                <w:rFonts w:ascii="標楷體" w:eastAsia="標楷體" w:hAnsi="標楷體" w:hint="eastAsia"/>
                <w:bCs/>
                <w:color w:val="000000"/>
                <w:sz w:val="24"/>
              </w:rPr>
              <w:t>實施徵購、徵用時，應</w:t>
            </w:r>
            <w:r w:rsidR="00313A34">
              <w:rPr>
                <w:rFonts w:ascii="標楷體" w:eastAsia="標楷體" w:hAnsi="標楷體" w:hint="eastAsia"/>
                <w:bCs/>
                <w:color w:val="000000"/>
                <w:sz w:val="24"/>
              </w:rPr>
              <w:t>先</w:t>
            </w:r>
            <w:r w:rsidRPr="009B3386">
              <w:rPr>
                <w:rFonts w:ascii="標楷體" w:eastAsia="標楷體" w:hAnsi="標楷體" w:hint="eastAsia"/>
                <w:bCs/>
                <w:color w:val="000000"/>
                <w:sz w:val="24"/>
              </w:rPr>
              <w:t>將徵購、徵用計畫報請行政院</w:t>
            </w:r>
            <w:r w:rsidR="00313A34">
              <w:rPr>
                <w:rFonts w:ascii="標楷體" w:eastAsia="標楷體" w:hAnsi="標楷體" w:hint="eastAsia"/>
                <w:bCs/>
                <w:color w:val="000000"/>
                <w:sz w:val="24"/>
              </w:rPr>
              <w:t>動員會報</w:t>
            </w:r>
            <w:r w:rsidRPr="009B3386">
              <w:rPr>
                <w:rFonts w:ascii="標楷體" w:eastAsia="標楷體" w:hAnsi="標楷體" w:hint="eastAsia"/>
                <w:bCs/>
                <w:color w:val="000000"/>
                <w:sz w:val="24"/>
              </w:rPr>
              <w:t>核准後，始得實施。</w:t>
            </w:r>
          </w:p>
          <w:p w:rsidR="006A669F" w:rsidRPr="009F0098" w:rsidRDefault="006A669F" w:rsidP="006A669F">
            <w:pPr>
              <w:tabs>
                <w:tab w:val="left" w:pos="480"/>
              </w:tabs>
              <w:ind w:leftChars="118" w:left="283" w:firstLineChars="177" w:firstLine="425"/>
              <w:jc w:val="both"/>
              <w:rPr>
                <w:rFonts w:ascii="標楷體" w:eastAsia="標楷體" w:hAnsi="標楷體"/>
                <w:b/>
                <w:bCs/>
                <w:color w:val="0070C0"/>
                <w:sz w:val="24"/>
                <w:u w:val="single"/>
              </w:rPr>
            </w:pPr>
            <w:r w:rsidRPr="009F0098">
              <w:rPr>
                <w:rFonts w:ascii="標楷體" w:eastAsia="標楷體" w:hAnsi="標楷體" w:hint="eastAsia"/>
                <w:b/>
                <w:bCs/>
                <w:color w:val="0070C0"/>
                <w:sz w:val="24"/>
                <w:u w:val="single"/>
              </w:rPr>
              <w:t>中央各機關</w:t>
            </w:r>
            <w:r w:rsidR="003C7583">
              <w:rPr>
                <w:rFonts w:ascii="標楷體" w:eastAsia="標楷體" w:hAnsi="標楷體" w:hint="eastAsia"/>
                <w:b/>
                <w:bCs/>
                <w:color w:val="0070C0"/>
                <w:sz w:val="24"/>
                <w:u w:val="single"/>
              </w:rPr>
              <w:t>及</w:t>
            </w:r>
            <w:r w:rsidRPr="009F0098">
              <w:rPr>
                <w:rFonts w:ascii="標楷體" w:eastAsia="標楷體" w:hAnsi="標楷體" w:hint="eastAsia"/>
                <w:b/>
                <w:bCs/>
                <w:color w:val="0070C0"/>
                <w:sz w:val="24"/>
                <w:u w:val="single"/>
              </w:rPr>
              <w:t>直轄市、縣(市)政府或各相關動員準備分類計畫主管機關於動員實施階段實施徵購、徵用時，</w:t>
            </w:r>
            <w:proofErr w:type="gramStart"/>
            <w:r w:rsidRPr="009F0098">
              <w:rPr>
                <w:rFonts w:ascii="標楷體" w:eastAsia="標楷體" w:hAnsi="標楷體" w:hint="eastAsia"/>
                <w:b/>
                <w:bCs/>
                <w:color w:val="0070C0"/>
                <w:sz w:val="24"/>
                <w:u w:val="single"/>
              </w:rPr>
              <w:t>準</w:t>
            </w:r>
            <w:proofErr w:type="gramEnd"/>
            <w:r w:rsidRPr="009F0098">
              <w:rPr>
                <w:rFonts w:ascii="標楷體" w:eastAsia="標楷體" w:hAnsi="標楷體" w:hint="eastAsia"/>
                <w:b/>
                <w:bCs/>
                <w:color w:val="0070C0"/>
                <w:sz w:val="24"/>
                <w:u w:val="single"/>
              </w:rPr>
              <w:t>用</w:t>
            </w:r>
            <w:r w:rsidR="00D312E0">
              <w:rPr>
                <w:rFonts w:ascii="標楷體" w:eastAsia="標楷體" w:hAnsi="標楷體" w:hint="eastAsia"/>
                <w:b/>
                <w:bCs/>
                <w:color w:val="0070C0"/>
                <w:sz w:val="24"/>
                <w:u w:val="single"/>
              </w:rPr>
              <w:t>前</w:t>
            </w:r>
            <w:r w:rsidRPr="009F0098">
              <w:rPr>
                <w:rFonts w:ascii="標楷體" w:eastAsia="標楷體" w:hAnsi="標楷體" w:hint="eastAsia"/>
                <w:b/>
                <w:bCs/>
                <w:color w:val="0070C0"/>
                <w:sz w:val="24"/>
                <w:u w:val="single"/>
              </w:rPr>
              <w:t>二項規定。</w:t>
            </w:r>
          </w:p>
          <w:p w:rsidR="002B1442" w:rsidRPr="009B3386" w:rsidRDefault="002B1442" w:rsidP="003E1351">
            <w:pPr>
              <w:tabs>
                <w:tab w:val="left" w:pos="480"/>
              </w:tabs>
              <w:ind w:leftChars="1" w:left="283" w:hangingChars="117" w:hanging="281"/>
              <w:jc w:val="both"/>
              <w:rPr>
                <w:rFonts w:ascii="標楷體" w:eastAsia="標楷體" w:hAnsi="標楷體"/>
                <w:bCs/>
                <w:color w:val="000000"/>
                <w:sz w:val="24"/>
              </w:rPr>
            </w:pPr>
            <w:r w:rsidRPr="009B3386">
              <w:rPr>
                <w:rFonts w:ascii="標楷體" w:eastAsia="標楷體" w:hAnsi="標楷體" w:hint="eastAsia"/>
                <w:bCs/>
                <w:color w:val="000000"/>
                <w:sz w:val="24"/>
              </w:rPr>
              <w:t xml:space="preserve">     </w:t>
            </w:r>
            <w:r>
              <w:rPr>
                <w:rFonts w:ascii="標楷體" w:eastAsia="標楷體" w:hAnsi="標楷體" w:hint="eastAsia"/>
                <w:bCs/>
                <w:color w:val="000000"/>
                <w:sz w:val="24"/>
              </w:rPr>
              <w:t xml:space="preserve"> </w:t>
            </w:r>
            <w:r w:rsidRPr="009B3386">
              <w:rPr>
                <w:rFonts w:ascii="標楷體" w:eastAsia="標楷體" w:hAnsi="標楷體" w:hint="eastAsia"/>
                <w:bCs/>
                <w:color w:val="000000"/>
                <w:sz w:val="24"/>
              </w:rPr>
              <w:t>受徵購、徵用財物之所有人或管理人應提供適當質量之財物，依時向指定地點報到。</w:t>
            </w:r>
          </w:p>
        </w:tc>
        <w:tc>
          <w:tcPr>
            <w:tcW w:w="1620" w:type="pct"/>
            <w:tcBorders>
              <w:top w:val="single" w:sz="4" w:space="0" w:color="auto"/>
              <w:left w:val="single" w:sz="4" w:space="0" w:color="auto"/>
              <w:bottom w:val="single" w:sz="4" w:space="0" w:color="auto"/>
              <w:right w:val="single" w:sz="4" w:space="0" w:color="auto"/>
            </w:tcBorders>
          </w:tcPr>
          <w:p w:rsidR="002B1442" w:rsidRPr="009B3386" w:rsidRDefault="002B1442" w:rsidP="009B3386">
            <w:pPr>
              <w:tabs>
                <w:tab w:val="left" w:pos="480"/>
              </w:tabs>
              <w:ind w:left="240" w:hangingChars="100" w:hanging="240"/>
              <w:jc w:val="both"/>
              <w:rPr>
                <w:rFonts w:ascii="標楷體" w:eastAsia="標楷體" w:hAnsi="標楷體"/>
                <w:bCs/>
                <w:color w:val="000000"/>
                <w:sz w:val="24"/>
              </w:rPr>
            </w:pPr>
            <w:r w:rsidRPr="009B3386">
              <w:rPr>
                <w:rFonts w:ascii="標楷體" w:eastAsia="標楷體" w:hAnsi="標楷體" w:hint="eastAsia"/>
                <w:bCs/>
                <w:color w:val="000000"/>
                <w:sz w:val="24"/>
              </w:rPr>
              <w:t>第二十八條  主辦演習機關得因演習實際需要，徵購、徵用人民之財物及徵用操作該財物之人員；徵用並應給與相當之補償。演習需民間財物配合參演時，亦得以契約方式辦理。</w:t>
            </w:r>
          </w:p>
          <w:p w:rsidR="002B1442" w:rsidRPr="009B3386" w:rsidRDefault="002B1442" w:rsidP="009B3386">
            <w:pPr>
              <w:tabs>
                <w:tab w:val="left" w:pos="480"/>
              </w:tabs>
              <w:ind w:left="240" w:hangingChars="100" w:hanging="240"/>
              <w:jc w:val="both"/>
              <w:rPr>
                <w:rFonts w:ascii="標楷體" w:eastAsia="標楷體" w:hAnsi="標楷體"/>
                <w:bCs/>
                <w:color w:val="000000"/>
                <w:sz w:val="24"/>
              </w:rPr>
            </w:pPr>
            <w:r w:rsidRPr="009B3386">
              <w:rPr>
                <w:rFonts w:ascii="標楷體" w:eastAsia="標楷體" w:hAnsi="標楷體" w:hint="eastAsia"/>
                <w:bCs/>
                <w:color w:val="000000"/>
                <w:sz w:val="24"/>
              </w:rPr>
              <w:t xml:space="preserve">      主辦演習機關實施徵購、徵用時，應將徵購、徵用計畫報請行政院</w:t>
            </w:r>
            <w:r w:rsidRPr="00313A34">
              <w:rPr>
                <w:rFonts w:ascii="標楷體" w:eastAsia="標楷體" w:hAnsi="標楷體" w:hint="eastAsia"/>
                <w:bCs/>
                <w:sz w:val="24"/>
              </w:rPr>
              <w:t>動員會報</w:t>
            </w:r>
            <w:r w:rsidRPr="009B3386">
              <w:rPr>
                <w:rFonts w:ascii="標楷體" w:eastAsia="標楷體" w:hAnsi="標楷體" w:hint="eastAsia"/>
                <w:bCs/>
                <w:color w:val="000000"/>
                <w:sz w:val="24"/>
              </w:rPr>
              <w:t>核准後，始得實施。</w:t>
            </w:r>
          </w:p>
          <w:p w:rsidR="002B1442" w:rsidRPr="009B3386" w:rsidRDefault="002B1442" w:rsidP="009B3386">
            <w:pPr>
              <w:tabs>
                <w:tab w:val="left" w:pos="480"/>
              </w:tabs>
              <w:ind w:left="240" w:hangingChars="100" w:hanging="240"/>
              <w:jc w:val="both"/>
              <w:rPr>
                <w:rFonts w:ascii="標楷體" w:eastAsia="標楷體" w:hAnsi="標楷體"/>
                <w:bCs/>
                <w:color w:val="000000"/>
                <w:sz w:val="24"/>
              </w:rPr>
            </w:pPr>
            <w:r w:rsidRPr="009B3386">
              <w:rPr>
                <w:rFonts w:ascii="標楷體" w:eastAsia="標楷體" w:hAnsi="標楷體" w:hint="eastAsia"/>
                <w:bCs/>
                <w:color w:val="000000"/>
                <w:sz w:val="24"/>
              </w:rPr>
              <w:t xml:space="preserve">      受徵購、徵用財物之所有人或管理人應提供適當質量之財物，依時向指定地點報到。</w:t>
            </w:r>
          </w:p>
        </w:tc>
        <w:tc>
          <w:tcPr>
            <w:tcW w:w="1712" w:type="pct"/>
            <w:tcBorders>
              <w:top w:val="single" w:sz="4" w:space="0" w:color="auto"/>
              <w:left w:val="single" w:sz="4" w:space="0" w:color="auto"/>
              <w:bottom w:val="single" w:sz="4" w:space="0" w:color="auto"/>
              <w:right w:val="single" w:sz="4" w:space="0" w:color="auto"/>
            </w:tcBorders>
          </w:tcPr>
          <w:p w:rsidR="008677D1" w:rsidRPr="00676DC2" w:rsidRDefault="008677D1" w:rsidP="008677D1">
            <w:pPr>
              <w:ind w:leftChars="-45" w:left="456" w:hangingChars="235" w:hanging="564"/>
              <w:jc w:val="both"/>
              <w:rPr>
                <w:rFonts w:ascii="標楷體" w:eastAsia="標楷體" w:hAnsi="標楷體"/>
                <w:bCs/>
                <w:color w:val="000000" w:themeColor="text1"/>
                <w:sz w:val="24"/>
              </w:rPr>
            </w:pPr>
            <w:r w:rsidRPr="00676DC2">
              <w:rPr>
                <w:rFonts w:ascii="標楷體" w:eastAsia="標楷體" w:hAnsi="標楷體" w:hint="eastAsia"/>
                <w:bCs/>
                <w:color w:val="000000" w:themeColor="text1"/>
                <w:sz w:val="24"/>
              </w:rPr>
              <w:t>一、第一項及第二項未修正。</w:t>
            </w:r>
          </w:p>
          <w:p w:rsidR="00676DC2" w:rsidRDefault="008677D1" w:rsidP="00676DC2">
            <w:pPr>
              <w:ind w:leftChars="-45" w:left="456" w:hangingChars="235" w:hanging="564"/>
              <w:jc w:val="both"/>
              <w:rPr>
                <w:rFonts w:ascii="標楷體" w:eastAsia="標楷體" w:hAnsi="標楷體" w:hint="eastAsia"/>
                <w:bCs/>
                <w:color w:val="000000" w:themeColor="text1"/>
                <w:sz w:val="24"/>
              </w:rPr>
            </w:pPr>
            <w:r w:rsidRPr="00676DC2">
              <w:rPr>
                <w:rFonts w:ascii="標楷體" w:eastAsia="標楷體" w:hAnsi="標楷體" w:hint="eastAsia"/>
                <w:bCs/>
                <w:color w:val="000000" w:themeColor="text1"/>
                <w:sz w:val="24"/>
              </w:rPr>
              <w:t>二、新增第三項。</w:t>
            </w:r>
            <w:r w:rsidR="002B1442" w:rsidRPr="00676DC2">
              <w:rPr>
                <w:rFonts w:ascii="標楷體" w:eastAsia="標楷體" w:hAnsi="標楷體" w:hint="eastAsia"/>
                <w:bCs/>
                <w:color w:val="000000" w:themeColor="text1"/>
                <w:sz w:val="24"/>
              </w:rPr>
              <w:t>全民國防係屬國防基本理念，全民防衛動員機制則為實踐該理念之具體作為，其要旨在</w:t>
            </w:r>
            <w:proofErr w:type="gramStart"/>
            <w:r w:rsidR="002B1442" w:rsidRPr="00676DC2">
              <w:rPr>
                <w:rFonts w:ascii="標楷體" w:eastAsia="標楷體" w:hAnsi="標楷體" w:hint="eastAsia"/>
                <w:bCs/>
                <w:color w:val="000000" w:themeColor="text1"/>
                <w:sz w:val="24"/>
              </w:rPr>
              <w:t>本諸納動員</w:t>
            </w:r>
            <w:proofErr w:type="gramEnd"/>
            <w:r w:rsidR="002B1442" w:rsidRPr="00676DC2">
              <w:rPr>
                <w:rFonts w:ascii="標楷體" w:eastAsia="標楷體" w:hAnsi="標楷體" w:hint="eastAsia"/>
                <w:bCs/>
                <w:color w:val="000000" w:themeColor="text1"/>
                <w:sz w:val="24"/>
              </w:rPr>
              <w:t>於施政、寓戰備於經建之原則，策訂各項動員準備方案</w:t>
            </w:r>
            <w:r w:rsidR="00D312E0" w:rsidRPr="00676DC2">
              <w:rPr>
                <w:rFonts w:ascii="標楷體" w:eastAsia="標楷體" w:hAnsi="標楷體" w:hint="eastAsia"/>
                <w:bCs/>
                <w:color w:val="000000" w:themeColor="text1"/>
                <w:sz w:val="24"/>
              </w:rPr>
              <w:t>及分類計畫</w:t>
            </w:r>
            <w:r w:rsidR="002B1442" w:rsidRPr="00676DC2">
              <w:rPr>
                <w:rFonts w:ascii="標楷體" w:eastAsia="標楷體" w:hAnsi="標楷體" w:hint="eastAsia"/>
                <w:bCs/>
                <w:color w:val="000000" w:themeColor="text1"/>
                <w:sz w:val="24"/>
              </w:rPr>
              <w:t>。而本法賦予主辦演習機關得因演習實際需要，徵購、徵用人民之財物及徵用操作該財物人員之法源，除規範平時之動員準備事項外，</w:t>
            </w:r>
            <w:r w:rsidR="00D312E0" w:rsidRPr="00676DC2">
              <w:rPr>
                <w:rFonts w:ascii="標楷體" w:eastAsia="標楷體" w:hAnsi="標楷體" w:hint="eastAsia"/>
                <w:bCs/>
                <w:color w:val="000000" w:themeColor="text1"/>
                <w:sz w:val="24"/>
              </w:rPr>
              <w:t>於</w:t>
            </w:r>
            <w:r w:rsidR="002B1442" w:rsidRPr="00676DC2">
              <w:rPr>
                <w:rFonts w:ascii="標楷體" w:eastAsia="標楷體" w:hAnsi="標楷體" w:hint="eastAsia"/>
                <w:bCs/>
                <w:color w:val="000000" w:themeColor="text1"/>
                <w:sz w:val="24"/>
              </w:rPr>
              <w:t>動員實施階段</w:t>
            </w:r>
            <w:r w:rsidR="001435A0" w:rsidRPr="00676DC2">
              <w:rPr>
                <w:rFonts w:ascii="標楷體" w:eastAsia="標楷體" w:hAnsi="標楷體" w:hint="eastAsia"/>
                <w:bCs/>
                <w:color w:val="000000" w:themeColor="text1"/>
                <w:sz w:val="24"/>
              </w:rPr>
              <w:t>實施徵購（用）時</w:t>
            </w:r>
            <w:r w:rsidR="00D312E0" w:rsidRPr="00676DC2">
              <w:rPr>
                <w:rFonts w:ascii="標楷體" w:eastAsia="標楷體" w:hAnsi="標楷體" w:hint="eastAsia"/>
                <w:bCs/>
                <w:color w:val="000000" w:themeColor="text1"/>
                <w:sz w:val="24"/>
              </w:rPr>
              <w:t>亦得</w:t>
            </w:r>
            <w:proofErr w:type="gramStart"/>
            <w:r w:rsidR="00D312E0" w:rsidRPr="00676DC2">
              <w:rPr>
                <w:rFonts w:ascii="標楷體" w:eastAsia="標楷體" w:hAnsi="標楷體" w:hint="eastAsia"/>
                <w:bCs/>
                <w:color w:val="000000" w:themeColor="text1"/>
                <w:sz w:val="24"/>
              </w:rPr>
              <w:t>準</w:t>
            </w:r>
            <w:proofErr w:type="gramEnd"/>
            <w:r w:rsidR="00D312E0" w:rsidRPr="00676DC2">
              <w:rPr>
                <w:rFonts w:ascii="標楷體" w:eastAsia="標楷體" w:hAnsi="標楷體" w:hint="eastAsia"/>
                <w:bCs/>
                <w:color w:val="000000" w:themeColor="text1"/>
                <w:sz w:val="24"/>
              </w:rPr>
              <w:t>用</w:t>
            </w:r>
            <w:r w:rsidR="006C10EE" w:rsidRPr="00676DC2">
              <w:rPr>
                <w:rFonts w:ascii="標楷體" w:eastAsia="標楷體" w:hAnsi="標楷體" w:hint="eastAsia"/>
                <w:bCs/>
                <w:color w:val="000000" w:themeColor="text1"/>
                <w:sz w:val="24"/>
              </w:rPr>
              <w:t>平</w:t>
            </w:r>
            <w:r w:rsidR="001435A0" w:rsidRPr="00676DC2">
              <w:rPr>
                <w:rFonts w:ascii="標楷體" w:eastAsia="標楷體" w:hAnsi="標楷體" w:hint="eastAsia"/>
                <w:bCs/>
                <w:color w:val="000000" w:themeColor="text1"/>
                <w:sz w:val="24"/>
              </w:rPr>
              <w:t>時</w:t>
            </w:r>
            <w:r w:rsidR="006C10EE" w:rsidRPr="00676DC2">
              <w:rPr>
                <w:rFonts w:ascii="標楷體" w:eastAsia="標楷體" w:hAnsi="標楷體" w:hint="eastAsia"/>
                <w:bCs/>
                <w:color w:val="000000" w:themeColor="text1"/>
                <w:sz w:val="24"/>
              </w:rPr>
              <w:t>演習之</w:t>
            </w:r>
            <w:r w:rsidR="001435A0" w:rsidRPr="00676DC2">
              <w:rPr>
                <w:rFonts w:ascii="標楷體" w:eastAsia="標楷體" w:hAnsi="標楷體" w:hint="eastAsia"/>
                <w:bCs/>
                <w:color w:val="000000" w:themeColor="text1"/>
                <w:sz w:val="24"/>
              </w:rPr>
              <w:t>相關</w:t>
            </w:r>
            <w:r w:rsidR="00D312E0" w:rsidRPr="00676DC2">
              <w:rPr>
                <w:rFonts w:ascii="標楷體" w:eastAsia="標楷體" w:hAnsi="標楷體" w:hint="eastAsia"/>
                <w:bCs/>
                <w:color w:val="000000" w:themeColor="text1"/>
                <w:sz w:val="24"/>
              </w:rPr>
              <w:t>規定</w:t>
            </w:r>
            <w:r w:rsidR="002B1442" w:rsidRPr="00676DC2">
              <w:rPr>
                <w:rFonts w:ascii="標楷體" w:eastAsia="標楷體" w:hAnsi="標楷體" w:hint="eastAsia"/>
                <w:bCs/>
                <w:color w:val="000000" w:themeColor="text1"/>
                <w:sz w:val="24"/>
              </w:rPr>
              <w:t>，期使戰時應用植基於平時務實的準備上</w:t>
            </w:r>
            <w:r w:rsidR="00D312E0" w:rsidRPr="00676DC2">
              <w:rPr>
                <w:rFonts w:ascii="標楷體" w:eastAsia="標楷體" w:hAnsi="標楷體" w:hint="eastAsia"/>
                <w:bCs/>
                <w:color w:val="000000" w:themeColor="text1"/>
                <w:sz w:val="24"/>
              </w:rPr>
              <w:t>，</w:t>
            </w:r>
            <w:proofErr w:type="gramStart"/>
            <w:r w:rsidR="002B1442" w:rsidRPr="00676DC2">
              <w:rPr>
                <w:rFonts w:ascii="標楷體" w:eastAsia="標楷體" w:hAnsi="標楷體" w:hint="eastAsia"/>
                <w:bCs/>
                <w:color w:val="000000" w:themeColor="text1"/>
                <w:sz w:val="24"/>
              </w:rPr>
              <w:t>爰</w:t>
            </w:r>
            <w:proofErr w:type="gramEnd"/>
            <w:r w:rsidR="006A669F" w:rsidRPr="00676DC2">
              <w:rPr>
                <w:rFonts w:ascii="標楷體" w:eastAsia="標楷體" w:hAnsi="標楷體" w:hint="eastAsia"/>
                <w:bCs/>
                <w:color w:val="000000" w:themeColor="text1"/>
                <w:sz w:val="24"/>
              </w:rPr>
              <w:t>增訂第三</w:t>
            </w:r>
            <w:r w:rsidR="002B1442" w:rsidRPr="00676DC2">
              <w:rPr>
                <w:rFonts w:ascii="標楷體" w:eastAsia="標楷體" w:hAnsi="標楷體" w:hint="eastAsia"/>
                <w:bCs/>
                <w:color w:val="000000" w:themeColor="text1"/>
                <w:sz w:val="24"/>
              </w:rPr>
              <w:t>項</w:t>
            </w:r>
            <w:r w:rsidR="00D312E0" w:rsidRPr="00676DC2">
              <w:rPr>
                <w:rFonts w:ascii="標楷體" w:eastAsia="標楷體" w:hAnsi="標楷體" w:hint="eastAsia"/>
                <w:bCs/>
                <w:color w:val="000000" w:themeColor="text1"/>
                <w:sz w:val="24"/>
              </w:rPr>
              <w:t>規定。</w:t>
            </w:r>
          </w:p>
          <w:p w:rsidR="008677D1" w:rsidRPr="00676DC2" w:rsidRDefault="008677D1" w:rsidP="00676DC2">
            <w:pPr>
              <w:ind w:leftChars="-45" w:left="456" w:hangingChars="235" w:hanging="564"/>
              <w:jc w:val="both"/>
              <w:rPr>
                <w:rFonts w:ascii="標楷體" w:eastAsia="標楷體" w:hAnsi="標楷體"/>
                <w:bCs/>
                <w:color w:val="000000" w:themeColor="text1"/>
                <w:sz w:val="24"/>
              </w:rPr>
            </w:pPr>
            <w:r w:rsidRPr="00676DC2">
              <w:rPr>
                <w:rFonts w:ascii="標楷體" w:eastAsia="標楷體" w:hAnsi="標楷體" w:hint="eastAsia"/>
                <w:bCs/>
                <w:color w:val="000000" w:themeColor="text1"/>
                <w:sz w:val="24"/>
              </w:rPr>
              <w:t>三、</w:t>
            </w:r>
            <w:r w:rsidR="00856039" w:rsidRPr="00676DC2">
              <w:rPr>
                <w:rFonts w:ascii="標楷體" w:eastAsia="標楷體" w:hAnsi="標楷體" w:hint="eastAsia"/>
                <w:bCs/>
                <w:color w:val="000000" w:themeColor="text1"/>
                <w:sz w:val="24"/>
              </w:rPr>
              <w:t>現行條文</w:t>
            </w:r>
            <w:r w:rsidRPr="00676DC2">
              <w:rPr>
                <w:rFonts w:ascii="標楷體" w:eastAsia="標楷體" w:hAnsi="標楷體" w:hint="eastAsia"/>
                <w:bCs/>
                <w:color w:val="000000" w:themeColor="text1"/>
                <w:sz w:val="24"/>
              </w:rPr>
              <w:t>第三項</w:t>
            </w:r>
            <w:r w:rsidR="00856039" w:rsidRPr="00676DC2">
              <w:rPr>
                <w:rFonts w:ascii="標楷體" w:eastAsia="標楷體" w:hAnsi="標楷體" w:hint="eastAsia"/>
                <w:bCs/>
                <w:color w:val="000000" w:themeColor="text1"/>
                <w:sz w:val="24"/>
              </w:rPr>
              <w:t>移列為第四項。</w:t>
            </w:r>
          </w:p>
        </w:tc>
      </w:tr>
      <w:tr w:rsidR="002B1442" w:rsidRPr="00E161EF" w:rsidTr="0019437C">
        <w:trPr>
          <w:trHeight w:val="6964"/>
        </w:trPr>
        <w:tc>
          <w:tcPr>
            <w:tcW w:w="1668" w:type="pct"/>
            <w:tcBorders>
              <w:top w:val="single" w:sz="4" w:space="0" w:color="auto"/>
              <w:left w:val="single" w:sz="4" w:space="0" w:color="auto"/>
              <w:right w:val="single" w:sz="4" w:space="0" w:color="auto"/>
            </w:tcBorders>
          </w:tcPr>
          <w:p w:rsidR="002B1442" w:rsidRPr="006741FF" w:rsidRDefault="002B1442" w:rsidP="00A566B1">
            <w:pPr>
              <w:adjustRightInd w:val="0"/>
              <w:snapToGrid w:val="0"/>
              <w:ind w:left="240" w:hangingChars="100" w:hanging="240"/>
              <w:jc w:val="both"/>
              <w:rPr>
                <w:rFonts w:ascii="標楷體" w:eastAsia="標楷體" w:hAnsi="標楷體"/>
                <w:color w:val="000000"/>
                <w:sz w:val="24"/>
              </w:rPr>
            </w:pPr>
            <w:r w:rsidRPr="006741FF">
              <w:rPr>
                <w:rFonts w:ascii="標楷體" w:eastAsia="標楷體" w:hAnsi="標楷體" w:hint="eastAsia"/>
                <w:color w:val="000000"/>
                <w:sz w:val="24"/>
              </w:rPr>
              <w:lastRenderedPageBreak/>
              <w:t>第三十七條  遺族</w:t>
            </w:r>
            <w:proofErr w:type="gramStart"/>
            <w:r w:rsidRPr="006741FF">
              <w:rPr>
                <w:rFonts w:ascii="標楷體" w:eastAsia="標楷體" w:hAnsi="標楷體" w:hint="eastAsia"/>
                <w:color w:val="000000"/>
                <w:sz w:val="24"/>
              </w:rPr>
              <w:t>請領前條</w:t>
            </w:r>
            <w:proofErr w:type="gramEnd"/>
            <w:r w:rsidRPr="006741FF">
              <w:rPr>
                <w:rFonts w:ascii="標楷體" w:eastAsia="標楷體" w:hAnsi="標楷體" w:hint="eastAsia"/>
                <w:color w:val="000000"/>
                <w:sz w:val="24"/>
              </w:rPr>
              <w:t>第二項撫卹金之順序如下：</w:t>
            </w:r>
          </w:p>
          <w:p w:rsidR="002B1442" w:rsidRPr="006741FF" w:rsidRDefault="002B1442" w:rsidP="00D639AF">
            <w:pPr>
              <w:adjustRightInd w:val="0"/>
              <w:snapToGrid w:val="0"/>
              <w:ind w:leftChars="119" w:left="960" w:hangingChars="281" w:hanging="674"/>
              <w:jc w:val="both"/>
              <w:rPr>
                <w:rFonts w:ascii="標楷體" w:eastAsia="標楷體" w:hAnsi="標楷體"/>
                <w:color w:val="000000"/>
                <w:sz w:val="24"/>
              </w:rPr>
            </w:pPr>
            <w:r w:rsidRPr="006741FF">
              <w:rPr>
                <w:rFonts w:ascii="標楷體" w:eastAsia="標楷體" w:hAnsi="標楷體" w:hint="eastAsia"/>
                <w:color w:val="000000"/>
                <w:sz w:val="24"/>
              </w:rPr>
              <w:t>一、配偶及子女。</w:t>
            </w:r>
          </w:p>
          <w:p w:rsidR="002B1442" w:rsidRDefault="002B1442" w:rsidP="00D639AF">
            <w:pPr>
              <w:adjustRightInd w:val="0"/>
              <w:snapToGrid w:val="0"/>
              <w:ind w:leftChars="119" w:left="960" w:hangingChars="281" w:hanging="674"/>
              <w:jc w:val="both"/>
              <w:rPr>
                <w:rFonts w:ascii="標楷體" w:eastAsia="標楷體" w:hAnsi="標楷體"/>
                <w:color w:val="000000"/>
                <w:sz w:val="24"/>
              </w:rPr>
            </w:pPr>
            <w:r w:rsidRPr="006741FF">
              <w:rPr>
                <w:rFonts w:ascii="標楷體" w:eastAsia="標楷體" w:hAnsi="標楷體" w:hint="eastAsia"/>
                <w:color w:val="000000"/>
                <w:sz w:val="24"/>
              </w:rPr>
              <w:t>二、父母。</w:t>
            </w:r>
          </w:p>
          <w:p w:rsidR="002B1442" w:rsidRDefault="002B1442" w:rsidP="00D639AF">
            <w:pPr>
              <w:adjustRightInd w:val="0"/>
              <w:snapToGrid w:val="0"/>
              <w:ind w:leftChars="119" w:left="960" w:hangingChars="281" w:hanging="674"/>
              <w:jc w:val="both"/>
              <w:rPr>
                <w:rFonts w:ascii="標楷體" w:eastAsia="標楷體" w:hAnsi="標楷體"/>
                <w:color w:val="000000"/>
                <w:sz w:val="24"/>
              </w:rPr>
            </w:pPr>
            <w:r w:rsidRPr="006741FF">
              <w:rPr>
                <w:rFonts w:ascii="標楷體" w:eastAsia="標楷體" w:hAnsi="標楷體" w:hint="eastAsia"/>
                <w:color w:val="000000"/>
                <w:sz w:val="24"/>
              </w:rPr>
              <w:t>三、祖父母。</w:t>
            </w:r>
          </w:p>
          <w:p w:rsidR="002B1442" w:rsidRDefault="002B1442" w:rsidP="00D639AF">
            <w:pPr>
              <w:adjustRightInd w:val="0"/>
              <w:snapToGrid w:val="0"/>
              <w:ind w:leftChars="119" w:left="960" w:hangingChars="281" w:hanging="674"/>
              <w:jc w:val="both"/>
              <w:rPr>
                <w:rFonts w:ascii="標楷體" w:eastAsia="標楷體" w:hAnsi="標楷體"/>
                <w:color w:val="000000"/>
                <w:sz w:val="24"/>
              </w:rPr>
            </w:pPr>
            <w:r w:rsidRPr="006741FF">
              <w:rPr>
                <w:rFonts w:ascii="標楷體" w:eastAsia="標楷體" w:hAnsi="標楷體" w:hint="eastAsia"/>
                <w:color w:val="000000"/>
                <w:sz w:val="24"/>
              </w:rPr>
              <w:t>四、孫子女。</w:t>
            </w:r>
          </w:p>
          <w:p w:rsidR="002B1442" w:rsidRPr="006741FF" w:rsidRDefault="002B1442" w:rsidP="00D639AF">
            <w:pPr>
              <w:adjustRightInd w:val="0"/>
              <w:snapToGrid w:val="0"/>
              <w:ind w:leftChars="119" w:left="960" w:hangingChars="281" w:hanging="674"/>
              <w:jc w:val="both"/>
              <w:rPr>
                <w:rFonts w:ascii="標楷體" w:eastAsia="標楷體" w:hAnsi="標楷體"/>
                <w:color w:val="000000"/>
                <w:sz w:val="24"/>
              </w:rPr>
            </w:pPr>
            <w:r w:rsidRPr="006741FF">
              <w:rPr>
                <w:rFonts w:ascii="標楷體" w:eastAsia="標楷體" w:hAnsi="標楷體" w:hint="eastAsia"/>
                <w:color w:val="000000"/>
                <w:sz w:val="24"/>
              </w:rPr>
              <w:t>五、兄弟姊妹。</w:t>
            </w:r>
          </w:p>
          <w:p w:rsidR="002B1442" w:rsidRPr="006741FF" w:rsidRDefault="002B1442" w:rsidP="00A566B1">
            <w:pPr>
              <w:adjustRightInd w:val="0"/>
              <w:snapToGrid w:val="0"/>
              <w:ind w:leftChars="100" w:left="240" w:firstLineChars="200" w:firstLine="480"/>
              <w:jc w:val="both"/>
              <w:rPr>
                <w:rFonts w:ascii="標楷體" w:eastAsia="標楷體" w:hAnsi="標楷體"/>
                <w:color w:val="000000"/>
                <w:sz w:val="24"/>
              </w:rPr>
            </w:pPr>
            <w:r w:rsidRPr="006741FF">
              <w:rPr>
                <w:rFonts w:ascii="標楷體" w:eastAsia="標楷體" w:hAnsi="標楷體" w:hint="eastAsia"/>
                <w:color w:val="000000"/>
                <w:sz w:val="24"/>
              </w:rPr>
              <w:t>前項遺族同一順序有數人時，其撫卹金應平均請領。如有拋棄或因法定事由喪失</w:t>
            </w:r>
            <w:proofErr w:type="gramStart"/>
            <w:r w:rsidRPr="006741FF">
              <w:rPr>
                <w:rFonts w:ascii="標楷體" w:eastAsia="標楷體" w:hAnsi="標楷體" w:hint="eastAsia"/>
                <w:color w:val="000000"/>
                <w:sz w:val="24"/>
              </w:rPr>
              <w:t>請領權時</w:t>
            </w:r>
            <w:proofErr w:type="gramEnd"/>
            <w:r w:rsidRPr="006741FF">
              <w:rPr>
                <w:rFonts w:ascii="標楷體" w:eastAsia="標楷體" w:hAnsi="標楷體" w:hint="eastAsia"/>
                <w:color w:val="000000"/>
                <w:sz w:val="24"/>
              </w:rPr>
              <w:t>，由其餘同一順序遺族請領之。同一順序無人請領時，由次一順序遺族請領之。</w:t>
            </w:r>
          </w:p>
          <w:p w:rsidR="002B1442" w:rsidRPr="006741FF" w:rsidRDefault="002B1442" w:rsidP="00890F2F">
            <w:pPr>
              <w:adjustRightInd w:val="0"/>
              <w:snapToGrid w:val="0"/>
              <w:ind w:leftChars="100" w:left="240" w:firstLineChars="200" w:firstLine="480"/>
              <w:jc w:val="both"/>
              <w:rPr>
                <w:rFonts w:ascii="標楷體" w:eastAsia="標楷體" w:hAnsi="標楷體"/>
                <w:bCs/>
                <w:color w:val="000000"/>
                <w:sz w:val="24"/>
              </w:rPr>
            </w:pPr>
            <w:r w:rsidRPr="006741FF">
              <w:rPr>
                <w:rFonts w:ascii="標楷體" w:eastAsia="標楷體" w:hAnsi="標楷體" w:hint="eastAsia"/>
                <w:color w:val="000000"/>
                <w:sz w:val="24"/>
              </w:rPr>
              <w:t>參加演習</w:t>
            </w:r>
            <w:r w:rsidRPr="008C756A">
              <w:rPr>
                <w:rFonts w:ascii="標楷體" w:eastAsia="標楷體" w:hAnsi="標楷體" w:hint="eastAsia"/>
                <w:b/>
                <w:color w:val="0070C0"/>
                <w:sz w:val="24"/>
                <w:u w:val="single" w:color="000000" w:themeColor="text1"/>
              </w:rPr>
              <w:t>或動員實施階段</w:t>
            </w:r>
            <w:r w:rsidR="006C10EE">
              <w:rPr>
                <w:rFonts w:ascii="標楷體" w:eastAsia="標楷體" w:hAnsi="標楷體" w:hint="eastAsia"/>
                <w:b/>
                <w:color w:val="0070C0"/>
                <w:sz w:val="24"/>
                <w:u w:val="single" w:color="000000" w:themeColor="text1"/>
              </w:rPr>
              <w:t>受</w:t>
            </w:r>
            <w:r w:rsidRPr="008C756A">
              <w:rPr>
                <w:rFonts w:ascii="標楷體" w:eastAsia="標楷體" w:hAnsi="標楷體" w:hint="eastAsia"/>
                <w:b/>
                <w:color w:val="0070C0"/>
                <w:sz w:val="24"/>
                <w:u w:val="single" w:color="000000" w:themeColor="text1"/>
              </w:rPr>
              <w:t>徵用</w:t>
            </w:r>
            <w:r w:rsidRPr="006741FF">
              <w:rPr>
                <w:rFonts w:ascii="標楷體" w:eastAsia="標楷體" w:hAnsi="標楷體" w:hint="eastAsia"/>
                <w:color w:val="000000"/>
                <w:sz w:val="24"/>
              </w:rPr>
              <w:t>人員生前預立遺囑，指定請領撫卹金遺族之順序者，從其遺囑。</w:t>
            </w:r>
          </w:p>
        </w:tc>
        <w:tc>
          <w:tcPr>
            <w:tcW w:w="1620" w:type="pct"/>
            <w:tcBorders>
              <w:top w:val="single" w:sz="4" w:space="0" w:color="auto"/>
              <w:left w:val="single" w:sz="4" w:space="0" w:color="auto"/>
              <w:right w:val="single" w:sz="4" w:space="0" w:color="auto"/>
            </w:tcBorders>
          </w:tcPr>
          <w:p w:rsidR="002B1442" w:rsidRPr="00F42AFB" w:rsidRDefault="002B1442" w:rsidP="00A566B1">
            <w:pPr>
              <w:adjustRightInd w:val="0"/>
              <w:snapToGrid w:val="0"/>
              <w:ind w:left="240" w:hangingChars="100" w:hanging="240"/>
              <w:jc w:val="both"/>
              <w:rPr>
                <w:rFonts w:ascii="標楷體" w:eastAsia="標楷體" w:hAnsi="標楷體"/>
                <w:color w:val="000000"/>
                <w:sz w:val="24"/>
              </w:rPr>
            </w:pPr>
            <w:r w:rsidRPr="00F42AFB">
              <w:rPr>
                <w:rFonts w:ascii="標楷體" w:eastAsia="標楷體" w:hAnsi="標楷體" w:hint="eastAsia"/>
                <w:color w:val="000000"/>
                <w:sz w:val="24"/>
              </w:rPr>
              <w:t>第三十七條  遺族</w:t>
            </w:r>
            <w:proofErr w:type="gramStart"/>
            <w:r w:rsidRPr="00F42AFB">
              <w:rPr>
                <w:rFonts w:ascii="標楷體" w:eastAsia="標楷體" w:hAnsi="標楷體" w:hint="eastAsia"/>
                <w:color w:val="000000"/>
                <w:sz w:val="24"/>
              </w:rPr>
              <w:t>請領前條</w:t>
            </w:r>
            <w:proofErr w:type="gramEnd"/>
            <w:r w:rsidRPr="00F42AFB">
              <w:rPr>
                <w:rFonts w:ascii="標楷體" w:eastAsia="標楷體" w:hAnsi="標楷體" w:hint="eastAsia"/>
                <w:color w:val="000000"/>
                <w:sz w:val="24"/>
              </w:rPr>
              <w:t>第二項撫卹金之順序如下：</w:t>
            </w:r>
          </w:p>
          <w:p w:rsidR="002B1442" w:rsidRPr="00F42AFB" w:rsidRDefault="002B1442" w:rsidP="00D639AF">
            <w:pPr>
              <w:adjustRightInd w:val="0"/>
              <w:snapToGrid w:val="0"/>
              <w:ind w:leftChars="108" w:left="960" w:hangingChars="292" w:hanging="701"/>
              <w:jc w:val="both"/>
              <w:rPr>
                <w:rFonts w:ascii="標楷體" w:eastAsia="標楷體" w:hAnsi="標楷體"/>
                <w:color w:val="000000"/>
                <w:sz w:val="24"/>
              </w:rPr>
            </w:pPr>
            <w:r w:rsidRPr="00F42AFB">
              <w:rPr>
                <w:rFonts w:ascii="標楷體" w:eastAsia="標楷體" w:hAnsi="標楷體" w:hint="eastAsia"/>
                <w:color w:val="000000"/>
                <w:sz w:val="24"/>
              </w:rPr>
              <w:t>一、配偶及子女。</w:t>
            </w:r>
          </w:p>
          <w:p w:rsidR="002B1442" w:rsidRPr="00F42AFB" w:rsidRDefault="002B1442" w:rsidP="00D639AF">
            <w:pPr>
              <w:adjustRightInd w:val="0"/>
              <w:snapToGrid w:val="0"/>
              <w:ind w:leftChars="108" w:left="960" w:hangingChars="292" w:hanging="701"/>
              <w:jc w:val="both"/>
              <w:rPr>
                <w:rFonts w:ascii="標楷體" w:eastAsia="標楷體" w:hAnsi="標楷體"/>
                <w:color w:val="000000"/>
                <w:sz w:val="24"/>
              </w:rPr>
            </w:pPr>
            <w:r w:rsidRPr="00F42AFB">
              <w:rPr>
                <w:rFonts w:ascii="標楷體" w:eastAsia="標楷體" w:hAnsi="標楷體" w:hint="eastAsia"/>
                <w:color w:val="000000"/>
                <w:sz w:val="24"/>
              </w:rPr>
              <w:t>二、父母。</w:t>
            </w:r>
          </w:p>
          <w:p w:rsidR="002B1442" w:rsidRPr="00F42AFB" w:rsidRDefault="002B1442" w:rsidP="00D639AF">
            <w:pPr>
              <w:adjustRightInd w:val="0"/>
              <w:snapToGrid w:val="0"/>
              <w:ind w:leftChars="108" w:left="960" w:hangingChars="292" w:hanging="701"/>
              <w:jc w:val="both"/>
              <w:rPr>
                <w:rFonts w:ascii="標楷體" w:eastAsia="標楷體" w:hAnsi="標楷體"/>
                <w:color w:val="000000"/>
                <w:sz w:val="24"/>
              </w:rPr>
            </w:pPr>
            <w:r w:rsidRPr="00F42AFB">
              <w:rPr>
                <w:rFonts w:ascii="標楷體" w:eastAsia="標楷體" w:hAnsi="標楷體" w:hint="eastAsia"/>
                <w:color w:val="000000"/>
                <w:sz w:val="24"/>
              </w:rPr>
              <w:t>三、祖父母。</w:t>
            </w:r>
          </w:p>
          <w:p w:rsidR="002B1442" w:rsidRPr="00F42AFB" w:rsidRDefault="002B1442" w:rsidP="00D639AF">
            <w:pPr>
              <w:adjustRightInd w:val="0"/>
              <w:snapToGrid w:val="0"/>
              <w:ind w:leftChars="108" w:left="960" w:hangingChars="292" w:hanging="701"/>
              <w:jc w:val="both"/>
              <w:rPr>
                <w:rFonts w:ascii="標楷體" w:eastAsia="標楷體" w:hAnsi="標楷體"/>
                <w:color w:val="000000"/>
                <w:sz w:val="24"/>
              </w:rPr>
            </w:pPr>
            <w:r w:rsidRPr="00F42AFB">
              <w:rPr>
                <w:rFonts w:ascii="標楷體" w:eastAsia="標楷體" w:hAnsi="標楷體" w:hint="eastAsia"/>
                <w:color w:val="000000"/>
                <w:sz w:val="24"/>
              </w:rPr>
              <w:t>四、孫子女。</w:t>
            </w:r>
          </w:p>
          <w:p w:rsidR="002B1442" w:rsidRPr="00F42AFB" w:rsidRDefault="002B1442" w:rsidP="00D639AF">
            <w:pPr>
              <w:adjustRightInd w:val="0"/>
              <w:snapToGrid w:val="0"/>
              <w:ind w:leftChars="108" w:left="960" w:hangingChars="292" w:hanging="701"/>
              <w:jc w:val="both"/>
              <w:rPr>
                <w:rFonts w:ascii="標楷體" w:eastAsia="標楷體" w:hAnsi="標楷體"/>
                <w:color w:val="000000"/>
                <w:sz w:val="24"/>
              </w:rPr>
            </w:pPr>
            <w:r w:rsidRPr="00F42AFB">
              <w:rPr>
                <w:rFonts w:ascii="標楷體" w:eastAsia="標楷體" w:hAnsi="標楷體" w:hint="eastAsia"/>
                <w:color w:val="000000"/>
                <w:sz w:val="24"/>
              </w:rPr>
              <w:t>五、兄弟姊妹。</w:t>
            </w:r>
          </w:p>
          <w:p w:rsidR="002B1442" w:rsidRPr="00F42AFB" w:rsidRDefault="002B1442" w:rsidP="00A566B1">
            <w:pPr>
              <w:adjustRightInd w:val="0"/>
              <w:snapToGrid w:val="0"/>
              <w:ind w:leftChars="100" w:left="240" w:firstLineChars="200" w:firstLine="480"/>
              <w:jc w:val="both"/>
              <w:rPr>
                <w:rFonts w:ascii="標楷體" w:eastAsia="標楷體" w:hAnsi="標楷體"/>
                <w:color w:val="000000"/>
                <w:sz w:val="24"/>
              </w:rPr>
            </w:pPr>
            <w:r w:rsidRPr="00F42AFB">
              <w:rPr>
                <w:rFonts w:ascii="標楷體" w:eastAsia="標楷體" w:hAnsi="標楷體" w:hint="eastAsia"/>
                <w:color w:val="000000"/>
                <w:sz w:val="24"/>
              </w:rPr>
              <w:t>前項遺族同一順序有數人時，其撫卹金應平均請領。如有拋棄或因法定事由喪失</w:t>
            </w:r>
            <w:proofErr w:type="gramStart"/>
            <w:r w:rsidRPr="00F42AFB">
              <w:rPr>
                <w:rFonts w:ascii="標楷體" w:eastAsia="標楷體" w:hAnsi="標楷體" w:hint="eastAsia"/>
                <w:color w:val="000000"/>
                <w:sz w:val="24"/>
              </w:rPr>
              <w:t>請領權時</w:t>
            </w:r>
            <w:proofErr w:type="gramEnd"/>
            <w:r w:rsidRPr="00F42AFB">
              <w:rPr>
                <w:rFonts w:ascii="標楷體" w:eastAsia="標楷體" w:hAnsi="標楷體" w:hint="eastAsia"/>
                <w:color w:val="000000"/>
                <w:sz w:val="24"/>
              </w:rPr>
              <w:t>，由其餘同一順序遺族請領之。同一順序無人請領時，由次一順序遺族請領之。</w:t>
            </w:r>
          </w:p>
          <w:p w:rsidR="002B1442" w:rsidRPr="00F42AFB" w:rsidRDefault="002B1442" w:rsidP="005E091C">
            <w:pPr>
              <w:adjustRightInd w:val="0"/>
              <w:snapToGrid w:val="0"/>
              <w:ind w:leftChars="100" w:left="240" w:firstLineChars="200" w:firstLine="480"/>
              <w:jc w:val="both"/>
              <w:rPr>
                <w:rFonts w:ascii="標楷體" w:eastAsia="標楷體" w:hAnsi="標楷體"/>
                <w:bCs/>
                <w:color w:val="000000"/>
                <w:sz w:val="24"/>
              </w:rPr>
            </w:pPr>
            <w:r w:rsidRPr="00F42AFB">
              <w:rPr>
                <w:rFonts w:ascii="標楷體" w:eastAsia="標楷體" w:hAnsi="標楷體" w:hint="eastAsia"/>
                <w:color w:val="000000"/>
                <w:sz w:val="24"/>
              </w:rPr>
              <w:t>參加演習人員生前預立遺囑，指定請領撫卹金遺族之順序者，從其遺囑。</w:t>
            </w:r>
          </w:p>
        </w:tc>
        <w:tc>
          <w:tcPr>
            <w:tcW w:w="1712" w:type="pct"/>
            <w:tcBorders>
              <w:top w:val="single" w:sz="4" w:space="0" w:color="auto"/>
              <w:left w:val="single" w:sz="4" w:space="0" w:color="auto"/>
              <w:right w:val="single" w:sz="4" w:space="0" w:color="auto"/>
            </w:tcBorders>
          </w:tcPr>
          <w:p w:rsidR="00676DC2" w:rsidRDefault="000E430A" w:rsidP="00676DC2">
            <w:pPr>
              <w:ind w:leftChars="-45" w:left="456" w:hangingChars="235" w:hanging="564"/>
              <w:jc w:val="both"/>
              <w:rPr>
                <w:rFonts w:ascii="標楷體" w:eastAsia="標楷體" w:hAnsi="標楷體" w:hint="eastAsia"/>
                <w:bCs/>
                <w:color w:val="000000" w:themeColor="text1"/>
                <w:sz w:val="24"/>
              </w:rPr>
            </w:pPr>
            <w:r w:rsidRPr="00676DC2">
              <w:rPr>
                <w:rFonts w:ascii="標楷體" w:eastAsia="標楷體" w:hAnsi="標楷體" w:hint="eastAsia"/>
                <w:bCs/>
                <w:color w:val="000000" w:themeColor="text1"/>
                <w:sz w:val="24"/>
              </w:rPr>
              <w:t>一、第一項及第二項未修正。</w:t>
            </w:r>
          </w:p>
          <w:p w:rsidR="002B1442" w:rsidRPr="00F42AFB" w:rsidRDefault="000E430A" w:rsidP="00676DC2">
            <w:pPr>
              <w:ind w:leftChars="-45" w:left="456" w:hangingChars="235" w:hanging="564"/>
              <w:jc w:val="both"/>
              <w:rPr>
                <w:rFonts w:ascii="標楷體" w:eastAsia="標楷體" w:hAnsi="標楷體"/>
                <w:bCs/>
                <w:color w:val="000000"/>
                <w:sz w:val="24"/>
              </w:rPr>
            </w:pPr>
            <w:r w:rsidRPr="00676DC2">
              <w:rPr>
                <w:rFonts w:ascii="標楷體" w:eastAsia="標楷體" w:hAnsi="標楷體" w:cs="Arial" w:hint="eastAsia"/>
                <w:color w:val="000000" w:themeColor="text1"/>
                <w:sz w:val="24"/>
                <w:lang w:val="zh-TW"/>
              </w:rPr>
              <w:t>二</w:t>
            </w:r>
            <w:r w:rsidR="002B1442" w:rsidRPr="00676DC2">
              <w:rPr>
                <w:rFonts w:ascii="標楷體" w:eastAsia="標楷體" w:hAnsi="標楷體" w:cs="Arial" w:hint="eastAsia"/>
                <w:color w:val="000000" w:themeColor="text1"/>
                <w:sz w:val="24"/>
                <w:lang w:val="zh-TW"/>
              </w:rPr>
              <w:t>、本法於一百零三年六月四日修正</w:t>
            </w:r>
            <w:r w:rsidRPr="00676DC2">
              <w:rPr>
                <w:rFonts w:ascii="標楷體" w:eastAsia="標楷體" w:hAnsi="標楷體" w:cs="Arial" w:hint="eastAsia"/>
                <w:color w:val="000000" w:themeColor="text1"/>
                <w:sz w:val="24"/>
                <w:lang w:val="zh-TW"/>
              </w:rPr>
              <w:t>施行</w:t>
            </w:r>
            <w:r w:rsidR="002B1442" w:rsidRPr="00676DC2">
              <w:rPr>
                <w:rFonts w:ascii="標楷體" w:eastAsia="標楷體" w:hAnsi="標楷體" w:cs="Arial" w:hint="eastAsia"/>
                <w:color w:val="000000" w:themeColor="text1"/>
                <w:sz w:val="24"/>
                <w:lang w:val="zh-TW"/>
              </w:rPr>
              <w:t>第三十六條第一項規定，參加演習或動員實施階段受徵用而致傷病、身心障礙或死亡者，依其本職身分或有關規定請領各項給付。</w:t>
            </w:r>
            <w:r w:rsidRPr="00676DC2">
              <w:rPr>
                <w:rFonts w:ascii="標楷體" w:eastAsia="標楷體" w:hAnsi="標楷體" w:cs="Arial" w:hint="eastAsia"/>
                <w:color w:val="000000" w:themeColor="text1"/>
                <w:sz w:val="24"/>
                <w:lang w:val="zh-TW"/>
              </w:rPr>
              <w:t>惟本條</w:t>
            </w:r>
            <w:r w:rsidR="002B1442" w:rsidRPr="00676DC2">
              <w:rPr>
                <w:rFonts w:ascii="標楷體" w:eastAsia="標楷體" w:hAnsi="標楷體" w:cs="Arial" w:hint="eastAsia"/>
                <w:color w:val="000000" w:themeColor="text1"/>
                <w:sz w:val="24"/>
                <w:lang w:val="zh-TW"/>
              </w:rPr>
              <w:t>第三</w:t>
            </w:r>
            <w:proofErr w:type="gramStart"/>
            <w:r w:rsidR="002B1442" w:rsidRPr="00676DC2">
              <w:rPr>
                <w:rFonts w:ascii="標楷體" w:eastAsia="標楷體" w:hAnsi="標楷體" w:cs="Arial" w:hint="eastAsia"/>
                <w:color w:val="000000" w:themeColor="text1"/>
                <w:sz w:val="24"/>
                <w:lang w:val="zh-TW"/>
              </w:rPr>
              <w:t>項僅律定</w:t>
            </w:r>
            <w:proofErr w:type="gramEnd"/>
            <w:r w:rsidR="002B1442" w:rsidRPr="00676DC2">
              <w:rPr>
                <w:rFonts w:ascii="標楷體" w:eastAsia="標楷體" w:hAnsi="標楷體" w:cs="Arial"/>
                <w:color w:val="000000" w:themeColor="text1"/>
                <w:sz w:val="24"/>
                <w:lang w:val="zh-TW"/>
              </w:rPr>
              <w:t>參加演習人員生前預立遺囑，指定請領撫卹金遺族之順序者，從其遺囑</w:t>
            </w:r>
            <w:r w:rsidR="002B1442" w:rsidRPr="00676DC2">
              <w:rPr>
                <w:rFonts w:ascii="標楷體" w:eastAsia="標楷體" w:hAnsi="標楷體" w:cs="Arial" w:hint="eastAsia"/>
                <w:color w:val="000000" w:themeColor="text1"/>
                <w:sz w:val="24"/>
                <w:lang w:val="zh-TW"/>
              </w:rPr>
              <w:t>之規定，</w:t>
            </w:r>
            <w:proofErr w:type="gramStart"/>
            <w:r w:rsidR="002B1442" w:rsidRPr="00676DC2">
              <w:rPr>
                <w:rFonts w:ascii="標楷體" w:eastAsia="標楷體" w:hAnsi="標楷體" w:cs="Arial" w:hint="eastAsia"/>
                <w:color w:val="000000" w:themeColor="text1"/>
                <w:sz w:val="24"/>
                <w:lang w:val="zh-TW"/>
              </w:rPr>
              <w:t>爰</w:t>
            </w:r>
            <w:proofErr w:type="gramEnd"/>
            <w:r w:rsidR="002B1442" w:rsidRPr="00676DC2">
              <w:rPr>
                <w:rFonts w:ascii="標楷體" w:eastAsia="標楷體" w:hAnsi="標楷體" w:cs="Arial" w:hint="eastAsia"/>
                <w:color w:val="000000" w:themeColor="text1"/>
                <w:sz w:val="24"/>
                <w:lang w:val="zh-TW"/>
              </w:rPr>
              <w:t>於本項增訂對</w:t>
            </w:r>
            <w:r w:rsidR="002B1442" w:rsidRPr="00676DC2">
              <w:rPr>
                <w:rFonts w:ascii="標楷體" w:eastAsia="標楷體" w:hAnsi="標楷體" w:cs="Arial"/>
                <w:color w:val="000000" w:themeColor="text1"/>
                <w:sz w:val="24"/>
                <w:lang w:val="zh-TW"/>
              </w:rPr>
              <w:t>動員實施階段受徵用</w:t>
            </w:r>
            <w:r w:rsidRPr="00676DC2">
              <w:rPr>
                <w:rFonts w:ascii="標楷體" w:eastAsia="標楷體" w:hAnsi="標楷體" w:hint="eastAsia"/>
                <w:color w:val="000000" w:themeColor="text1"/>
                <w:sz w:val="24"/>
                <w:lang w:val="zh-TW"/>
              </w:rPr>
              <w:t>人員亦得於生前與立遺囑</w:t>
            </w:r>
            <w:r w:rsidR="006677BE" w:rsidRPr="00676DC2">
              <w:rPr>
                <w:rFonts w:ascii="標楷體" w:eastAsia="標楷體" w:hAnsi="標楷體" w:hint="eastAsia"/>
                <w:color w:val="000000" w:themeColor="text1"/>
                <w:sz w:val="24"/>
                <w:lang w:val="zh-TW"/>
              </w:rPr>
              <w:t>，指定請領撫卹金遺族之順序</w:t>
            </w:r>
            <w:r w:rsidR="002B1442" w:rsidRPr="00676DC2">
              <w:rPr>
                <w:rFonts w:ascii="標楷體" w:eastAsia="標楷體" w:hAnsi="標楷體" w:hint="eastAsia"/>
                <w:color w:val="000000" w:themeColor="text1"/>
                <w:sz w:val="24"/>
                <w:lang w:val="zh-TW"/>
              </w:rPr>
              <w:t>，</w:t>
            </w:r>
            <w:r w:rsidR="002B1442" w:rsidRPr="00676DC2">
              <w:rPr>
                <w:rFonts w:ascii="標楷體" w:eastAsia="標楷體" w:hAnsi="標楷體" w:cs="Arial"/>
                <w:color w:val="000000" w:themeColor="text1"/>
                <w:sz w:val="24"/>
                <w:lang w:val="zh-TW"/>
              </w:rPr>
              <w:t>以保障其權益</w:t>
            </w:r>
            <w:r w:rsidR="002B1442" w:rsidRPr="00676DC2">
              <w:rPr>
                <w:rFonts w:ascii="標楷體" w:eastAsia="標楷體" w:hAnsi="標楷體" w:hint="eastAsia"/>
                <w:color w:val="000000" w:themeColor="text1"/>
                <w:sz w:val="24"/>
                <w:lang w:val="zh-TW"/>
              </w:rPr>
              <w:t>。</w:t>
            </w:r>
          </w:p>
        </w:tc>
      </w:tr>
      <w:tr w:rsidR="002B1442" w:rsidRPr="005039E5" w:rsidTr="00830116">
        <w:trPr>
          <w:trHeight w:val="1969"/>
        </w:trPr>
        <w:tc>
          <w:tcPr>
            <w:tcW w:w="1668" w:type="pct"/>
            <w:tcBorders>
              <w:top w:val="single" w:sz="4" w:space="0" w:color="auto"/>
              <w:left w:val="single" w:sz="4" w:space="0" w:color="auto"/>
              <w:right w:val="single" w:sz="4" w:space="0" w:color="auto"/>
            </w:tcBorders>
          </w:tcPr>
          <w:p w:rsidR="002B1442" w:rsidRPr="005039E5" w:rsidRDefault="002B1442" w:rsidP="005039E5">
            <w:pPr>
              <w:adjustRightInd w:val="0"/>
              <w:snapToGrid w:val="0"/>
              <w:ind w:leftChars="50" w:left="360" w:hangingChars="100" w:hanging="240"/>
              <w:jc w:val="both"/>
              <w:rPr>
                <w:rFonts w:ascii="標楷體" w:eastAsia="標楷體" w:hAnsi="標楷體"/>
                <w:bCs/>
                <w:color w:val="FF0000"/>
                <w:sz w:val="24"/>
                <w:u w:val="single" w:color="000000" w:themeColor="text1"/>
              </w:rPr>
            </w:pPr>
            <w:r w:rsidRPr="005039E5">
              <w:rPr>
                <w:rFonts w:ascii="標楷體" w:eastAsia="標楷體" w:hAnsi="標楷體" w:hint="eastAsia"/>
                <w:color w:val="000000"/>
                <w:sz w:val="24"/>
              </w:rPr>
              <w:t>第四十條</w:t>
            </w:r>
            <w:r w:rsidRPr="005039E5">
              <w:rPr>
                <w:rFonts w:ascii="標楷體" w:eastAsia="標楷體" w:hAnsi="標楷體" w:hint="eastAsia"/>
                <w:color w:val="FF0000"/>
                <w:sz w:val="24"/>
              </w:rPr>
              <w:t xml:space="preserve">  </w:t>
            </w:r>
            <w:r w:rsidRPr="00D66E31">
              <w:rPr>
                <w:rFonts w:ascii="標楷體" w:eastAsia="標楷體" w:hAnsi="標楷體" w:hint="eastAsia"/>
                <w:b/>
                <w:bCs/>
                <w:color w:val="0070C0"/>
                <w:sz w:val="24"/>
                <w:u w:val="single"/>
              </w:rPr>
              <w:t>推動</w:t>
            </w:r>
            <w:r w:rsidRPr="005039E5">
              <w:rPr>
                <w:rFonts w:ascii="標楷體" w:eastAsia="標楷體" w:hAnsi="標楷體" w:hint="eastAsia"/>
                <w:bCs/>
                <w:sz w:val="24"/>
              </w:rPr>
              <w:t>動員準備業務</w:t>
            </w:r>
            <w:r w:rsidRPr="008C756A">
              <w:rPr>
                <w:rFonts w:ascii="標楷體" w:eastAsia="標楷體" w:hAnsi="標楷體" w:hint="eastAsia"/>
                <w:b/>
                <w:bCs/>
                <w:color w:val="0070C0"/>
                <w:sz w:val="24"/>
                <w:u w:val="single" w:color="000000" w:themeColor="text1"/>
              </w:rPr>
              <w:t>之機關(構)、團體或個人應給予適當獎勵</w:t>
            </w:r>
            <w:r w:rsidR="007D0F18">
              <w:rPr>
                <w:rFonts w:ascii="標楷體" w:eastAsia="標楷體" w:hAnsi="標楷體" w:hint="eastAsia"/>
                <w:b/>
                <w:bCs/>
                <w:color w:val="0070C0"/>
                <w:sz w:val="24"/>
                <w:u w:val="single" w:color="000000" w:themeColor="text1"/>
              </w:rPr>
              <w:t>及</w:t>
            </w:r>
            <w:r w:rsidRPr="008C756A">
              <w:rPr>
                <w:rFonts w:ascii="標楷體" w:eastAsia="標楷體" w:hAnsi="標楷體" w:hint="eastAsia"/>
                <w:b/>
                <w:bCs/>
                <w:color w:val="0070C0"/>
                <w:sz w:val="24"/>
                <w:u w:val="single" w:color="000000" w:themeColor="text1"/>
              </w:rPr>
              <w:t>慰勞</w:t>
            </w:r>
            <w:r w:rsidRPr="00C67192">
              <w:rPr>
                <w:rFonts w:ascii="標楷體" w:eastAsia="標楷體" w:hAnsi="標楷體" w:hint="eastAsia"/>
                <w:b/>
                <w:bCs/>
                <w:color w:val="0070C0"/>
                <w:sz w:val="24"/>
              </w:rPr>
              <w:t>。</w:t>
            </w:r>
          </w:p>
          <w:p w:rsidR="002B1442" w:rsidRPr="008C756A" w:rsidRDefault="002B1442" w:rsidP="006A669F">
            <w:pPr>
              <w:tabs>
                <w:tab w:val="left" w:pos="480"/>
              </w:tabs>
              <w:ind w:leftChars="100" w:left="240" w:firstLineChars="200" w:firstLine="480"/>
              <w:jc w:val="both"/>
              <w:rPr>
                <w:rFonts w:ascii="標楷體" w:eastAsia="標楷體" w:hAnsi="標楷體"/>
                <w:b/>
                <w:bCs/>
                <w:color w:val="000000"/>
                <w:sz w:val="24"/>
                <w:u w:val="single" w:color="000000" w:themeColor="text1"/>
              </w:rPr>
            </w:pPr>
            <w:r w:rsidRPr="008C756A">
              <w:rPr>
                <w:rFonts w:ascii="標楷體" w:eastAsia="標楷體" w:hAnsi="標楷體" w:hint="eastAsia"/>
                <w:b/>
                <w:bCs/>
                <w:color w:val="0070C0"/>
                <w:sz w:val="24"/>
                <w:u w:val="single" w:color="000000" w:themeColor="text1"/>
              </w:rPr>
              <w:t>前項獎勵</w:t>
            </w:r>
            <w:r w:rsidR="006A669F">
              <w:rPr>
                <w:rFonts w:ascii="標楷體" w:eastAsia="標楷體" w:hAnsi="標楷體" w:hint="eastAsia"/>
                <w:b/>
                <w:bCs/>
                <w:color w:val="0070C0"/>
                <w:sz w:val="24"/>
                <w:u w:val="single" w:color="000000" w:themeColor="text1"/>
              </w:rPr>
              <w:t>及</w:t>
            </w:r>
            <w:r w:rsidRPr="008C756A">
              <w:rPr>
                <w:rFonts w:ascii="標楷體" w:eastAsia="標楷體" w:hAnsi="標楷體" w:hint="eastAsia"/>
                <w:b/>
                <w:bCs/>
                <w:color w:val="0070C0"/>
                <w:sz w:val="24"/>
                <w:u w:val="single" w:color="000000" w:themeColor="text1"/>
              </w:rPr>
              <w:t>慰勞辦法，由國防部定之。</w:t>
            </w:r>
          </w:p>
        </w:tc>
        <w:tc>
          <w:tcPr>
            <w:tcW w:w="1620" w:type="pct"/>
            <w:tcBorders>
              <w:top w:val="single" w:sz="4" w:space="0" w:color="auto"/>
              <w:left w:val="single" w:sz="4" w:space="0" w:color="auto"/>
              <w:right w:val="single" w:sz="4" w:space="0" w:color="auto"/>
            </w:tcBorders>
          </w:tcPr>
          <w:p w:rsidR="002B1442" w:rsidRPr="005039E5" w:rsidRDefault="002B1442" w:rsidP="005039E5">
            <w:pPr>
              <w:adjustRightInd w:val="0"/>
              <w:snapToGrid w:val="0"/>
              <w:ind w:leftChars="50" w:left="360" w:hangingChars="100" w:hanging="240"/>
              <w:jc w:val="both"/>
              <w:rPr>
                <w:rFonts w:ascii="標楷體" w:eastAsia="標楷體" w:hAnsi="標楷體"/>
                <w:bCs/>
                <w:color w:val="000000"/>
                <w:sz w:val="24"/>
              </w:rPr>
            </w:pPr>
            <w:r w:rsidRPr="005039E5">
              <w:rPr>
                <w:rFonts w:ascii="標楷體" w:eastAsia="標楷體" w:hAnsi="標楷體" w:hint="eastAsia"/>
                <w:color w:val="000000"/>
                <w:sz w:val="24"/>
              </w:rPr>
              <w:t>第四十條</w:t>
            </w:r>
            <w:r w:rsidRPr="005039E5">
              <w:rPr>
                <w:rFonts w:ascii="標楷體" w:eastAsia="標楷體" w:hAnsi="標楷體" w:hint="eastAsia"/>
                <w:color w:val="FF0000"/>
                <w:sz w:val="24"/>
              </w:rPr>
              <w:t xml:space="preserve">  </w:t>
            </w:r>
            <w:r w:rsidRPr="005039E5">
              <w:rPr>
                <w:rFonts w:ascii="標楷體" w:eastAsia="標楷體" w:hAnsi="標楷體" w:hint="eastAsia"/>
                <w:sz w:val="24"/>
              </w:rPr>
              <w:t>各機關對於辦理動員準備業務績效優良有具體事實者，得予以獎勵。</w:t>
            </w:r>
          </w:p>
        </w:tc>
        <w:tc>
          <w:tcPr>
            <w:tcW w:w="1712" w:type="pct"/>
            <w:tcBorders>
              <w:top w:val="single" w:sz="4" w:space="0" w:color="auto"/>
              <w:left w:val="single" w:sz="4" w:space="0" w:color="auto"/>
              <w:right w:val="single" w:sz="4" w:space="0" w:color="auto"/>
            </w:tcBorders>
          </w:tcPr>
          <w:p w:rsidR="002B1442" w:rsidRPr="00676DC2" w:rsidRDefault="002B1442" w:rsidP="009E301A">
            <w:pPr>
              <w:pStyle w:val="a9"/>
              <w:ind w:leftChars="0" w:left="458" w:hangingChars="191" w:hanging="458"/>
              <w:jc w:val="both"/>
              <w:rPr>
                <w:rFonts w:ascii="標楷體" w:eastAsia="標楷體" w:hAnsi="標楷體"/>
                <w:bCs/>
                <w:color w:val="000000" w:themeColor="text1"/>
                <w:sz w:val="24"/>
              </w:rPr>
            </w:pPr>
            <w:r>
              <w:rPr>
                <w:rFonts w:ascii="標楷體" w:eastAsia="標楷體" w:hAnsi="標楷體" w:hint="eastAsia"/>
                <w:bCs/>
                <w:color w:val="000000"/>
                <w:sz w:val="24"/>
              </w:rPr>
              <w:t>一、</w:t>
            </w:r>
            <w:r w:rsidRPr="005039E5">
              <w:rPr>
                <w:rFonts w:ascii="標楷體" w:eastAsia="標楷體" w:hAnsi="標楷體" w:hint="eastAsia"/>
                <w:bCs/>
                <w:color w:val="000000"/>
                <w:sz w:val="24"/>
              </w:rPr>
              <w:t>行政院全民防衛動員準備業務會報，為提昇各級行政機關所屬全民防衛動員準備業務績優人員</w:t>
            </w:r>
            <w:r w:rsidR="007D0F18">
              <w:rPr>
                <w:rFonts w:ascii="標楷體" w:eastAsia="標楷體" w:hAnsi="標楷體" w:hint="eastAsia"/>
                <w:bCs/>
                <w:color w:val="000000"/>
                <w:sz w:val="24"/>
              </w:rPr>
              <w:t>及</w:t>
            </w:r>
            <w:r w:rsidRPr="005039E5">
              <w:rPr>
                <w:rFonts w:ascii="標楷體" w:eastAsia="標楷體" w:hAnsi="標楷體" w:hint="eastAsia"/>
                <w:bCs/>
                <w:color w:val="000000"/>
                <w:sz w:val="24"/>
              </w:rPr>
              <w:t>工作</w:t>
            </w:r>
            <w:r w:rsidR="007D0F18">
              <w:rPr>
                <w:rFonts w:ascii="標楷體" w:eastAsia="標楷體" w:hAnsi="標楷體" w:hint="eastAsia"/>
                <w:bCs/>
                <w:color w:val="000000"/>
                <w:sz w:val="24"/>
              </w:rPr>
              <w:t>意願</w:t>
            </w:r>
            <w:r w:rsidRPr="005039E5">
              <w:rPr>
                <w:rFonts w:ascii="標楷體" w:eastAsia="標楷體" w:hAnsi="標楷體" w:hint="eastAsia"/>
                <w:bCs/>
                <w:color w:val="000000"/>
                <w:sz w:val="24"/>
              </w:rPr>
              <w:t>，並表彰其敬業精神及鼓舞士氣，以強化動員準備工作，</w:t>
            </w:r>
            <w:r>
              <w:rPr>
                <w:rFonts w:ascii="標楷體" w:eastAsia="標楷體" w:hAnsi="標楷體" w:hint="eastAsia"/>
                <w:bCs/>
                <w:color w:val="000000"/>
                <w:sz w:val="24"/>
              </w:rPr>
              <w:t>雖訂有</w:t>
            </w:r>
            <w:r w:rsidRPr="005039E5">
              <w:rPr>
                <w:rFonts w:ascii="標楷體" w:eastAsia="標楷體" w:hAnsi="標楷體" w:hint="eastAsia"/>
                <w:bCs/>
                <w:color w:val="000000"/>
                <w:sz w:val="24"/>
              </w:rPr>
              <w:t>「全民防衛動員準備業務績優人員獎勵要點」</w:t>
            </w:r>
            <w:r>
              <w:rPr>
                <w:rFonts w:ascii="標楷體" w:eastAsia="標楷體" w:hAnsi="標楷體" w:hint="eastAsia"/>
                <w:bCs/>
                <w:color w:val="000000"/>
                <w:sz w:val="24"/>
              </w:rPr>
              <w:t>規定</w:t>
            </w:r>
            <w:r w:rsidRPr="005039E5">
              <w:rPr>
                <w:rFonts w:ascii="標楷體" w:eastAsia="標楷體" w:hAnsi="標楷體" w:hint="eastAsia"/>
                <w:bCs/>
                <w:color w:val="000000"/>
                <w:sz w:val="24"/>
              </w:rPr>
              <w:t>辦理獎勵。</w:t>
            </w:r>
            <w:proofErr w:type="gramStart"/>
            <w:r>
              <w:rPr>
                <w:rFonts w:ascii="標楷體" w:eastAsia="標楷體" w:hAnsi="標楷體" w:hint="eastAsia"/>
                <w:bCs/>
                <w:color w:val="000000"/>
                <w:sz w:val="24"/>
              </w:rPr>
              <w:t>惟對於</w:t>
            </w:r>
            <w:r w:rsidRPr="00C11F4E">
              <w:rPr>
                <w:rFonts w:ascii="標楷體" w:eastAsia="標楷體" w:hAnsi="標楷體" w:hint="eastAsia"/>
                <w:bCs/>
                <w:color w:val="000000"/>
                <w:sz w:val="24"/>
              </w:rPr>
              <w:t>綜辦</w:t>
            </w:r>
            <w:proofErr w:type="gramEnd"/>
            <w:r w:rsidRPr="00C11F4E">
              <w:rPr>
                <w:rFonts w:ascii="標楷體" w:eastAsia="標楷體" w:hAnsi="標楷體" w:hint="eastAsia"/>
                <w:bCs/>
                <w:color w:val="000000"/>
                <w:sz w:val="24"/>
              </w:rPr>
              <w:t>、協辦全民防衛動員（</w:t>
            </w:r>
            <w:r>
              <w:rPr>
                <w:rFonts w:ascii="標楷體" w:eastAsia="標楷體" w:hAnsi="標楷體" w:hint="eastAsia"/>
                <w:bCs/>
                <w:color w:val="000000"/>
                <w:sz w:val="24"/>
              </w:rPr>
              <w:t>民安</w:t>
            </w:r>
            <w:r w:rsidRPr="00C11F4E">
              <w:rPr>
                <w:rFonts w:ascii="標楷體" w:eastAsia="標楷體" w:hAnsi="標楷體" w:hint="eastAsia"/>
                <w:bCs/>
                <w:color w:val="000000"/>
                <w:sz w:val="24"/>
              </w:rPr>
              <w:t>）演習有功</w:t>
            </w:r>
            <w:r>
              <w:rPr>
                <w:rFonts w:ascii="標楷體" w:eastAsia="標楷體" w:hAnsi="標楷體" w:hint="eastAsia"/>
                <w:bCs/>
                <w:color w:val="000000"/>
                <w:sz w:val="24"/>
              </w:rPr>
              <w:t>之機關、團體或個人之獎勵或慰勞，似嫌不足，</w:t>
            </w:r>
            <w:proofErr w:type="gramStart"/>
            <w:r w:rsidRPr="00676DC2">
              <w:rPr>
                <w:rFonts w:ascii="標楷體" w:eastAsia="標楷體" w:hAnsi="標楷體" w:hint="eastAsia"/>
                <w:bCs/>
                <w:color w:val="000000" w:themeColor="text1"/>
                <w:sz w:val="24"/>
              </w:rPr>
              <w:t>特</w:t>
            </w:r>
            <w:proofErr w:type="gramEnd"/>
            <w:r w:rsidR="00C67192" w:rsidRPr="00676DC2">
              <w:rPr>
                <w:rFonts w:ascii="標楷體" w:eastAsia="標楷體" w:hAnsi="標楷體" w:hint="eastAsia"/>
                <w:bCs/>
                <w:color w:val="000000" w:themeColor="text1"/>
                <w:sz w:val="24"/>
              </w:rPr>
              <w:t>於第一項</w:t>
            </w:r>
            <w:r w:rsidRPr="00676DC2">
              <w:rPr>
                <w:rFonts w:ascii="標楷體" w:eastAsia="標楷體" w:hAnsi="標楷體" w:hint="eastAsia"/>
                <w:bCs/>
                <w:color w:val="000000" w:themeColor="text1"/>
                <w:sz w:val="24"/>
              </w:rPr>
              <w:t>予以明定。</w:t>
            </w:r>
          </w:p>
          <w:p w:rsidR="002B1442" w:rsidRPr="004860F8" w:rsidRDefault="002B1442" w:rsidP="00676DC2">
            <w:pPr>
              <w:ind w:leftChars="15" w:left="458" w:hangingChars="176" w:hanging="422"/>
              <w:jc w:val="both"/>
              <w:rPr>
                <w:rFonts w:ascii="標楷體" w:eastAsia="標楷體" w:hAnsi="標楷體"/>
                <w:bCs/>
                <w:color w:val="000000"/>
                <w:sz w:val="24"/>
              </w:rPr>
            </w:pPr>
            <w:r w:rsidRPr="00676DC2">
              <w:rPr>
                <w:rFonts w:ascii="標楷體" w:eastAsia="標楷體" w:hAnsi="標楷體" w:hint="eastAsia"/>
                <w:bCs/>
                <w:color w:val="000000" w:themeColor="text1"/>
                <w:sz w:val="24"/>
              </w:rPr>
              <w:t>二、</w:t>
            </w:r>
            <w:r w:rsidR="00AE74AE" w:rsidRPr="00676DC2">
              <w:rPr>
                <w:rFonts w:ascii="標楷體" w:eastAsia="標楷體" w:hAnsi="標楷體" w:hint="eastAsia"/>
                <w:bCs/>
                <w:color w:val="000000" w:themeColor="text1"/>
                <w:sz w:val="24"/>
              </w:rPr>
              <w:t>參</w:t>
            </w:r>
            <w:r w:rsidRPr="00676DC2">
              <w:rPr>
                <w:rFonts w:ascii="標楷體" w:eastAsia="標楷體" w:hAnsi="標楷體" w:hint="eastAsia"/>
                <w:bCs/>
                <w:color w:val="000000" w:themeColor="text1"/>
                <w:sz w:val="24"/>
              </w:rPr>
              <w:t>照全民國防教育法第十四條所授權訂定之推動全民國防教育傑出貢</w:t>
            </w:r>
            <w:r w:rsidRPr="00676DC2">
              <w:rPr>
                <w:rFonts w:ascii="標楷體" w:eastAsia="標楷體" w:hAnsi="標楷體" w:hint="eastAsia"/>
                <w:bCs/>
                <w:color w:val="000000" w:themeColor="text1"/>
                <w:sz w:val="24"/>
              </w:rPr>
              <w:lastRenderedPageBreak/>
              <w:t>獻獎勵辦法相關規定，對推動動員準備業務績效優良之機關 (構) 、團體或個人應給予適當獎勵</w:t>
            </w:r>
            <w:r w:rsidR="007D0F18" w:rsidRPr="00676DC2">
              <w:rPr>
                <w:rFonts w:ascii="標楷體" w:eastAsia="標楷體" w:hAnsi="標楷體" w:hint="eastAsia"/>
                <w:bCs/>
                <w:color w:val="000000" w:themeColor="text1"/>
                <w:sz w:val="24"/>
              </w:rPr>
              <w:t>，並對渠等工作辛勞予以</w:t>
            </w:r>
            <w:r w:rsidRPr="00676DC2">
              <w:rPr>
                <w:rFonts w:ascii="標楷體" w:eastAsia="標楷體" w:hAnsi="標楷體" w:hint="eastAsia"/>
                <w:bCs/>
                <w:color w:val="000000" w:themeColor="text1"/>
                <w:sz w:val="24"/>
              </w:rPr>
              <w:t>慰勞，</w:t>
            </w:r>
            <w:proofErr w:type="gramStart"/>
            <w:r w:rsidR="003F2590" w:rsidRPr="00676DC2">
              <w:rPr>
                <w:rFonts w:ascii="標楷體" w:eastAsia="標楷體" w:hAnsi="標楷體" w:hint="eastAsia"/>
                <w:bCs/>
                <w:color w:val="000000" w:themeColor="text1"/>
                <w:sz w:val="24"/>
              </w:rPr>
              <w:t>爰</w:t>
            </w:r>
            <w:proofErr w:type="gramEnd"/>
            <w:r w:rsidR="003F2590" w:rsidRPr="00676DC2">
              <w:rPr>
                <w:rFonts w:ascii="標楷體" w:eastAsia="標楷體" w:hAnsi="標楷體" w:hint="eastAsia"/>
                <w:bCs/>
                <w:color w:val="000000" w:themeColor="text1"/>
                <w:sz w:val="24"/>
              </w:rPr>
              <w:t>於</w:t>
            </w:r>
            <w:proofErr w:type="gramStart"/>
            <w:r w:rsidR="00C67192" w:rsidRPr="00676DC2">
              <w:rPr>
                <w:rFonts w:ascii="標楷體" w:eastAsia="標楷體" w:hAnsi="標楷體" w:hint="eastAsia"/>
                <w:bCs/>
                <w:color w:val="000000" w:themeColor="text1"/>
                <w:sz w:val="24"/>
              </w:rPr>
              <w:t>第二項</w:t>
            </w:r>
            <w:r w:rsidR="007D0F18" w:rsidRPr="00676DC2">
              <w:rPr>
                <w:rFonts w:ascii="標楷體" w:eastAsia="標楷體" w:hAnsi="標楷體" w:hint="eastAsia"/>
                <w:bCs/>
                <w:strike/>
                <w:color w:val="000000" w:themeColor="text1"/>
                <w:sz w:val="24"/>
              </w:rPr>
              <w:t>乃</w:t>
            </w:r>
            <w:r w:rsidRPr="00676DC2">
              <w:rPr>
                <w:rFonts w:ascii="標楷體" w:eastAsia="標楷體" w:hAnsi="標楷體" w:hint="eastAsia"/>
                <w:bCs/>
                <w:color w:val="000000" w:themeColor="text1"/>
                <w:sz w:val="24"/>
              </w:rPr>
              <w:t>授權</w:t>
            </w:r>
            <w:proofErr w:type="gramEnd"/>
            <w:r w:rsidRPr="00676DC2">
              <w:rPr>
                <w:rFonts w:ascii="標楷體" w:eastAsia="標楷體" w:hAnsi="標楷體" w:hint="eastAsia"/>
                <w:bCs/>
                <w:color w:val="000000" w:themeColor="text1"/>
                <w:sz w:val="24"/>
              </w:rPr>
              <w:t>國防部訂定獎勵</w:t>
            </w:r>
            <w:r w:rsidR="00ED297B" w:rsidRPr="00676DC2">
              <w:rPr>
                <w:rFonts w:ascii="標楷體" w:eastAsia="標楷體" w:hAnsi="標楷體" w:hint="eastAsia"/>
                <w:bCs/>
                <w:color w:val="000000" w:themeColor="text1"/>
                <w:sz w:val="24"/>
              </w:rPr>
              <w:t>及</w:t>
            </w:r>
            <w:r w:rsidRPr="00676DC2">
              <w:rPr>
                <w:rFonts w:ascii="標楷體" w:eastAsia="標楷體" w:hAnsi="標楷體" w:hint="eastAsia"/>
                <w:bCs/>
                <w:color w:val="000000" w:themeColor="text1"/>
                <w:sz w:val="24"/>
              </w:rPr>
              <w:t>慰勞辦法。</w:t>
            </w:r>
          </w:p>
        </w:tc>
      </w:tr>
    </w:tbl>
    <w:p w:rsidR="00E2142F" w:rsidRPr="00676DC2" w:rsidRDefault="00E2142F" w:rsidP="00AA0B77">
      <w:pPr>
        <w:rPr>
          <w:color w:val="000000"/>
        </w:rPr>
      </w:pPr>
    </w:p>
    <w:p w:rsidR="003C5FD8" w:rsidRPr="00E2142F" w:rsidRDefault="003C5FD8" w:rsidP="00AA0B77"/>
    <w:sectPr w:rsidR="003C5FD8" w:rsidRPr="00E2142F" w:rsidSect="001C15FB">
      <w:footerReference w:type="even" r:id="rId9"/>
      <w:footerReference w:type="default" r:id="rId10"/>
      <w:pgSz w:w="11906" w:h="16838"/>
      <w:pgMar w:top="1418" w:right="1418" w:bottom="1418"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AED" w:rsidRDefault="00373AED">
      <w:r>
        <w:separator/>
      </w:r>
    </w:p>
  </w:endnote>
  <w:endnote w:type="continuationSeparator" w:id="0">
    <w:p w:rsidR="00373AED" w:rsidRDefault="00373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BFB" w:rsidRDefault="00047EC1" w:rsidP="00685E40">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6</w:t>
    </w:r>
    <w:r>
      <w:rPr>
        <w:rStyle w:val="a6"/>
      </w:rPr>
      <w:fldChar w:fldCharType="end"/>
    </w:r>
  </w:p>
  <w:p w:rsidR="00D22BFB" w:rsidRDefault="00373AE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BFB" w:rsidRPr="00D038EE" w:rsidRDefault="00047EC1" w:rsidP="00AA6BB2">
    <w:pPr>
      <w:pStyle w:val="a4"/>
      <w:jc w:val="center"/>
      <w:rPr>
        <w:rFonts w:ascii="標楷體" w:eastAsia="標楷體" w:hAnsi="標楷體"/>
      </w:rPr>
    </w:pPr>
    <w:r w:rsidRPr="00D038EE">
      <w:rPr>
        <w:rFonts w:ascii="標楷體" w:eastAsia="標楷體" w:hAnsi="標楷體" w:hint="eastAsia"/>
        <w:kern w:val="0"/>
      </w:rPr>
      <w:t xml:space="preserve">第 </w:t>
    </w:r>
    <w:r w:rsidRPr="00D038EE">
      <w:rPr>
        <w:rFonts w:ascii="標楷體" w:eastAsia="標楷體" w:hAnsi="標楷體"/>
        <w:kern w:val="0"/>
      </w:rPr>
      <w:fldChar w:fldCharType="begin"/>
    </w:r>
    <w:r w:rsidRPr="00D038EE">
      <w:rPr>
        <w:rFonts w:ascii="標楷體" w:eastAsia="標楷體" w:hAnsi="標楷體"/>
        <w:kern w:val="0"/>
      </w:rPr>
      <w:instrText xml:space="preserve"> PAGE </w:instrText>
    </w:r>
    <w:r w:rsidRPr="00D038EE">
      <w:rPr>
        <w:rFonts w:ascii="標楷體" w:eastAsia="標楷體" w:hAnsi="標楷體"/>
        <w:kern w:val="0"/>
      </w:rPr>
      <w:fldChar w:fldCharType="separate"/>
    </w:r>
    <w:r w:rsidR="00E15B72">
      <w:rPr>
        <w:rFonts w:ascii="標楷體" w:eastAsia="標楷體" w:hAnsi="標楷體"/>
        <w:noProof/>
        <w:kern w:val="0"/>
      </w:rPr>
      <w:t>9</w:t>
    </w:r>
    <w:r w:rsidRPr="00D038EE">
      <w:rPr>
        <w:rFonts w:ascii="標楷體" w:eastAsia="標楷體" w:hAnsi="標楷體"/>
        <w:kern w:val="0"/>
      </w:rPr>
      <w:fldChar w:fldCharType="end"/>
    </w:r>
    <w:r w:rsidRPr="00D038EE">
      <w:rPr>
        <w:rFonts w:ascii="標楷體" w:eastAsia="標楷體" w:hAnsi="標楷體" w:hint="eastAsia"/>
        <w:kern w:val="0"/>
      </w:rPr>
      <w:t xml:space="preserve"> 頁，共 </w:t>
    </w:r>
    <w:r w:rsidRPr="00D038EE">
      <w:rPr>
        <w:rFonts w:ascii="標楷體" w:eastAsia="標楷體" w:hAnsi="標楷體"/>
        <w:kern w:val="0"/>
      </w:rPr>
      <w:fldChar w:fldCharType="begin"/>
    </w:r>
    <w:r w:rsidRPr="00D038EE">
      <w:rPr>
        <w:rFonts w:ascii="標楷體" w:eastAsia="標楷體" w:hAnsi="標楷體"/>
        <w:kern w:val="0"/>
      </w:rPr>
      <w:instrText xml:space="preserve"> NUMPAGES </w:instrText>
    </w:r>
    <w:r w:rsidRPr="00D038EE">
      <w:rPr>
        <w:rFonts w:ascii="標楷體" w:eastAsia="標楷體" w:hAnsi="標楷體"/>
        <w:kern w:val="0"/>
      </w:rPr>
      <w:fldChar w:fldCharType="separate"/>
    </w:r>
    <w:r w:rsidR="00E15B72">
      <w:rPr>
        <w:rFonts w:ascii="標楷體" w:eastAsia="標楷體" w:hAnsi="標楷體"/>
        <w:noProof/>
        <w:kern w:val="0"/>
      </w:rPr>
      <w:t>9</w:t>
    </w:r>
    <w:r w:rsidRPr="00D038EE">
      <w:rPr>
        <w:rFonts w:ascii="標楷體" w:eastAsia="標楷體" w:hAnsi="標楷體"/>
        <w:kern w:val="0"/>
      </w:rPr>
      <w:fldChar w:fldCharType="end"/>
    </w:r>
    <w:r w:rsidRPr="00D038EE">
      <w:rPr>
        <w:rFonts w:ascii="標楷體" w:eastAsia="標楷體" w:hAnsi="標楷體" w:hint="eastAsia"/>
        <w:kern w:val="0"/>
      </w:rPr>
      <w:t xml:space="preserve"> 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AED" w:rsidRDefault="00373AED">
      <w:r>
        <w:separator/>
      </w:r>
    </w:p>
  </w:footnote>
  <w:footnote w:type="continuationSeparator" w:id="0">
    <w:p w:rsidR="00373AED" w:rsidRDefault="00373A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54C2C"/>
    <w:multiLevelType w:val="hybridMultilevel"/>
    <w:tmpl w:val="4C40A94E"/>
    <w:lvl w:ilvl="0" w:tplc="0568B250">
      <w:start w:val="1"/>
      <w:numFmt w:val="taiwaneseCountingThousand"/>
      <w:lvlText w:val="%1、"/>
      <w:lvlJc w:val="left"/>
      <w:pPr>
        <w:ind w:left="452" w:hanging="45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1">
    <w:nsid w:val="5C062912"/>
    <w:multiLevelType w:val="hybridMultilevel"/>
    <w:tmpl w:val="003AF02C"/>
    <w:lvl w:ilvl="0" w:tplc="E3E8D2AE">
      <w:start w:val="1"/>
      <w:numFmt w:val="taiwaneseCountingThousand"/>
      <w:lvlText w:val="%1、"/>
      <w:lvlJc w:val="left"/>
      <w:pPr>
        <w:ind w:left="396" w:hanging="360"/>
      </w:pPr>
      <w:rPr>
        <w:rFonts w:hint="default"/>
      </w:rPr>
    </w:lvl>
    <w:lvl w:ilvl="1" w:tplc="04090019" w:tentative="1">
      <w:start w:val="1"/>
      <w:numFmt w:val="ideographTraditional"/>
      <w:lvlText w:val="%2、"/>
      <w:lvlJc w:val="left"/>
      <w:pPr>
        <w:ind w:left="996" w:hanging="480"/>
      </w:pPr>
    </w:lvl>
    <w:lvl w:ilvl="2" w:tplc="0409001B" w:tentative="1">
      <w:start w:val="1"/>
      <w:numFmt w:val="lowerRoman"/>
      <w:lvlText w:val="%3."/>
      <w:lvlJc w:val="right"/>
      <w:pPr>
        <w:ind w:left="1476" w:hanging="480"/>
      </w:pPr>
    </w:lvl>
    <w:lvl w:ilvl="3" w:tplc="0409000F" w:tentative="1">
      <w:start w:val="1"/>
      <w:numFmt w:val="decimal"/>
      <w:lvlText w:val="%4."/>
      <w:lvlJc w:val="left"/>
      <w:pPr>
        <w:ind w:left="1956" w:hanging="480"/>
      </w:pPr>
    </w:lvl>
    <w:lvl w:ilvl="4" w:tplc="04090019" w:tentative="1">
      <w:start w:val="1"/>
      <w:numFmt w:val="ideographTraditional"/>
      <w:lvlText w:val="%5、"/>
      <w:lvlJc w:val="left"/>
      <w:pPr>
        <w:ind w:left="2436" w:hanging="480"/>
      </w:pPr>
    </w:lvl>
    <w:lvl w:ilvl="5" w:tplc="0409001B" w:tentative="1">
      <w:start w:val="1"/>
      <w:numFmt w:val="lowerRoman"/>
      <w:lvlText w:val="%6."/>
      <w:lvlJc w:val="right"/>
      <w:pPr>
        <w:ind w:left="2916" w:hanging="480"/>
      </w:pPr>
    </w:lvl>
    <w:lvl w:ilvl="6" w:tplc="0409000F" w:tentative="1">
      <w:start w:val="1"/>
      <w:numFmt w:val="decimal"/>
      <w:lvlText w:val="%7."/>
      <w:lvlJc w:val="left"/>
      <w:pPr>
        <w:ind w:left="3396" w:hanging="480"/>
      </w:pPr>
    </w:lvl>
    <w:lvl w:ilvl="7" w:tplc="04090019" w:tentative="1">
      <w:start w:val="1"/>
      <w:numFmt w:val="ideographTraditional"/>
      <w:lvlText w:val="%8、"/>
      <w:lvlJc w:val="left"/>
      <w:pPr>
        <w:ind w:left="3876" w:hanging="480"/>
      </w:pPr>
    </w:lvl>
    <w:lvl w:ilvl="8" w:tplc="0409001B" w:tentative="1">
      <w:start w:val="1"/>
      <w:numFmt w:val="lowerRoman"/>
      <w:lvlText w:val="%9."/>
      <w:lvlJc w:val="right"/>
      <w:pPr>
        <w:ind w:left="4356"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42F"/>
    <w:rsid w:val="000072E5"/>
    <w:rsid w:val="00020892"/>
    <w:rsid w:val="000309F0"/>
    <w:rsid w:val="00033E6F"/>
    <w:rsid w:val="0003608C"/>
    <w:rsid w:val="00037FC4"/>
    <w:rsid w:val="00040D36"/>
    <w:rsid w:val="00047EC1"/>
    <w:rsid w:val="00085F96"/>
    <w:rsid w:val="000B4D40"/>
    <w:rsid w:val="000B6A89"/>
    <w:rsid w:val="000C7866"/>
    <w:rsid w:val="000E430A"/>
    <w:rsid w:val="000F09AD"/>
    <w:rsid w:val="00107EEA"/>
    <w:rsid w:val="0011186A"/>
    <w:rsid w:val="00141E55"/>
    <w:rsid w:val="001435A0"/>
    <w:rsid w:val="00160F7E"/>
    <w:rsid w:val="00192768"/>
    <w:rsid w:val="0019324D"/>
    <w:rsid w:val="00197D83"/>
    <w:rsid w:val="001B385D"/>
    <w:rsid w:val="001C15FB"/>
    <w:rsid w:val="001C2110"/>
    <w:rsid w:val="001F1C7E"/>
    <w:rsid w:val="002035F4"/>
    <w:rsid w:val="00216B84"/>
    <w:rsid w:val="00225DE4"/>
    <w:rsid w:val="0024352B"/>
    <w:rsid w:val="002442C3"/>
    <w:rsid w:val="00276F59"/>
    <w:rsid w:val="002A2894"/>
    <w:rsid w:val="002B1442"/>
    <w:rsid w:val="002B6BF2"/>
    <w:rsid w:val="002C2645"/>
    <w:rsid w:val="002C30B4"/>
    <w:rsid w:val="002E10BA"/>
    <w:rsid w:val="002E1AAE"/>
    <w:rsid w:val="00313A34"/>
    <w:rsid w:val="00363AAD"/>
    <w:rsid w:val="00373AED"/>
    <w:rsid w:val="003815F6"/>
    <w:rsid w:val="00384ED0"/>
    <w:rsid w:val="003C4109"/>
    <w:rsid w:val="003C5FD8"/>
    <w:rsid w:val="003C7583"/>
    <w:rsid w:val="003D70ED"/>
    <w:rsid w:val="003E1351"/>
    <w:rsid w:val="003F2590"/>
    <w:rsid w:val="003F4FC4"/>
    <w:rsid w:val="00400F05"/>
    <w:rsid w:val="00402AFE"/>
    <w:rsid w:val="00403712"/>
    <w:rsid w:val="00403B1B"/>
    <w:rsid w:val="00434094"/>
    <w:rsid w:val="00476214"/>
    <w:rsid w:val="0048342C"/>
    <w:rsid w:val="004860F8"/>
    <w:rsid w:val="004A5109"/>
    <w:rsid w:val="004A7814"/>
    <w:rsid w:val="004B02EC"/>
    <w:rsid w:val="004B18CF"/>
    <w:rsid w:val="004C133F"/>
    <w:rsid w:val="004C368A"/>
    <w:rsid w:val="004C4C53"/>
    <w:rsid w:val="004C6498"/>
    <w:rsid w:val="004F2617"/>
    <w:rsid w:val="004F627E"/>
    <w:rsid w:val="005039E5"/>
    <w:rsid w:val="00512089"/>
    <w:rsid w:val="0054267C"/>
    <w:rsid w:val="005440C3"/>
    <w:rsid w:val="00556947"/>
    <w:rsid w:val="005633E8"/>
    <w:rsid w:val="00566889"/>
    <w:rsid w:val="005C25BD"/>
    <w:rsid w:val="005D02E4"/>
    <w:rsid w:val="005E091C"/>
    <w:rsid w:val="006314FF"/>
    <w:rsid w:val="006316EA"/>
    <w:rsid w:val="006677BE"/>
    <w:rsid w:val="006741FF"/>
    <w:rsid w:val="00676DC2"/>
    <w:rsid w:val="006851A8"/>
    <w:rsid w:val="00687183"/>
    <w:rsid w:val="006A669F"/>
    <w:rsid w:val="006B3F0C"/>
    <w:rsid w:val="006B4B71"/>
    <w:rsid w:val="006C0BDD"/>
    <w:rsid w:val="006C10EE"/>
    <w:rsid w:val="006D0F78"/>
    <w:rsid w:val="006E4F78"/>
    <w:rsid w:val="006F1D31"/>
    <w:rsid w:val="007053FD"/>
    <w:rsid w:val="007074DE"/>
    <w:rsid w:val="00721571"/>
    <w:rsid w:val="007218B5"/>
    <w:rsid w:val="00725F3D"/>
    <w:rsid w:val="007673D9"/>
    <w:rsid w:val="00767EDE"/>
    <w:rsid w:val="007704C5"/>
    <w:rsid w:val="007814C4"/>
    <w:rsid w:val="00784A8F"/>
    <w:rsid w:val="007A0416"/>
    <w:rsid w:val="007A1A93"/>
    <w:rsid w:val="007B0336"/>
    <w:rsid w:val="007D0F18"/>
    <w:rsid w:val="00836460"/>
    <w:rsid w:val="00855498"/>
    <w:rsid w:val="00856039"/>
    <w:rsid w:val="008673A5"/>
    <w:rsid w:val="008677D1"/>
    <w:rsid w:val="00890F2F"/>
    <w:rsid w:val="008A41FD"/>
    <w:rsid w:val="008C4AD5"/>
    <w:rsid w:val="008C756A"/>
    <w:rsid w:val="008D23AB"/>
    <w:rsid w:val="0092299E"/>
    <w:rsid w:val="00992313"/>
    <w:rsid w:val="009B2881"/>
    <w:rsid w:val="009B3386"/>
    <w:rsid w:val="009D141E"/>
    <w:rsid w:val="009D4694"/>
    <w:rsid w:val="009E301A"/>
    <w:rsid w:val="009E52F0"/>
    <w:rsid w:val="009F0098"/>
    <w:rsid w:val="009F3368"/>
    <w:rsid w:val="009F5C9E"/>
    <w:rsid w:val="00A01B5B"/>
    <w:rsid w:val="00A07B5A"/>
    <w:rsid w:val="00A10B31"/>
    <w:rsid w:val="00A25B5E"/>
    <w:rsid w:val="00A566B1"/>
    <w:rsid w:val="00A613C8"/>
    <w:rsid w:val="00A61FDA"/>
    <w:rsid w:val="00A73155"/>
    <w:rsid w:val="00A76539"/>
    <w:rsid w:val="00A83617"/>
    <w:rsid w:val="00AA0B77"/>
    <w:rsid w:val="00AB5D59"/>
    <w:rsid w:val="00AC3491"/>
    <w:rsid w:val="00AC6C89"/>
    <w:rsid w:val="00AE1464"/>
    <w:rsid w:val="00AE74AE"/>
    <w:rsid w:val="00AF2595"/>
    <w:rsid w:val="00AF5A9F"/>
    <w:rsid w:val="00B0446B"/>
    <w:rsid w:val="00B04F99"/>
    <w:rsid w:val="00B41575"/>
    <w:rsid w:val="00B4613B"/>
    <w:rsid w:val="00B521EE"/>
    <w:rsid w:val="00B607CD"/>
    <w:rsid w:val="00B64DEC"/>
    <w:rsid w:val="00B66EF8"/>
    <w:rsid w:val="00B71B26"/>
    <w:rsid w:val="00B97986"/>
    <w:rsid w:val="00BA478F"/>
    <w:rsid w:val="00BB0A7A"/>
    <w:rsid w:val="00BE22B8"/>
    <w:rsid w:val="00C11F4E"/>
    <w:rsid w:val="00C31CC3"/>
    <w:rsid w:val="00C36AAD"/>
    <w:rsid w:val="00C541A9"/>
    <w:rsid w:val="00C57F27"/>
    <w:rsid w:val="00C57F44"/>
    <w:rsid w:val="00C65A36"/>
    <w:rsid w:val="00C67192"/>
    <w:rsid w:val="00C6755B"/>
    <w:rsid w:val="00C85B08"/>
    <w:rsid w:val="00C97AE1"/>
    <w:rsid w:val="00CA09CD"/>
    <w:rsid w:val="00D01090"/>
    <w:rsid w:val="00D04E01"/>
    <w:rsid w:val="00D05E00"/>
    <w:rsid w:val="00D142A5"/>
    <w:rsid w:val="00D20EC8"/>
    <w:rsid w:val="00D23015"/>
    <w:rsid w:val="00D312E0"/>
    <w:rsid w:val="00D321AE"/>
    <w:rsid w:val="00D432CC"/>
    <w:rsid w:val="00D43AA8"/>
    <w:rsid w:val="00D62AAD"/>
    <w:rsid w:val="00D62F57"/>
    <w:rsid w:val="00D639AF"/>
    <w:rsid w:val="00D66E31"/>
    <w:rsid w:val="00D72632"/>
    <w:rsid w:val="00D8605F"/>
    <w:rsid w:val="00D90EA3"/>
    <w:rsid w:val="00DB52D3"/>
    <w:rsid w:val="00DC01EF"/>
    <w:rsid w:val="00DC3E8C"/>
    <w:rsid w:val="00DC5F9C"/>
    <w:rsid w:val="00E07B73"/>
    <w:rsid w:val="00E15B72"/>
    <w:rsid w:val="00E2142F"/>
    <w:rsid w:val="00E44981"/>
    <w:rsid w:val="00E76D50"/>
    <w:rsid w:val="00EA5A95"/>
    <w:rsid w:val="00ED297B"/>
    <w:rsid w:val="00ED705C"/>
    <w:rsid w:val="00F160C5"/>
    <w:rsid w:val="00F16178"/>
    <w:rsid w:val="00F2371B"/>
    <w:rsid w:val="00F42AFB"/>
    <w:rsid w:val="00F434A5"/>
    <w:rsid w:val="00F5315C"/>
    <w:rsid w:val="00F60A40"/>
    <w:rsid w:val="00F61E08"/>
    <w:rsid w:val="00F8353B"/>
    <w:rsid w:val="00FA2AE4"/>
    <w:rsid w:val="00FB1803"/>
    <w:rsid w:val="00FD6AA7"/>
    <w:rsid w:val="00FF2410"/>
    <w:rsid w:val="00FF3DE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430A"/>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E214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kern w:val="0"/>
      <w:sz w:val="20"/>
      <w:szCs w:val="20"/>
    </w:rPr>
  </w:style>
  <w:style w:type="character" w:customStyle="1" w:styleId="HTML0">
    <w:name w:val="HTML 預設格式 字元"/>
    <w:basedOn w:val="a0"/>
    <w:link w:val="HTML"/>
    <w:rsid w:val="00E2142F"/>
    <w:rPr>
      <w:rFonts w:ascii="細明體" w:eastAsia="細明體" w:hAnsi="Courier New" w:cs="Courier New"/>
      <w:kern w:val="0"/>
      <w:sz w:val="20"/>
      <w:szCs w:val="20"/>
    </w:rPr>
  </w:style>
  <w:style w:type="table" w:styleId="a3">
    <w:name w:val="Table Grid"/>
    <w:basedOn w:val="a1"/>
    <w:rsid w:val="00E2142F"/>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rsid w:val="00E2142F"/>
    <w:pPr>
      <w:tabs>
        <w:tab w:val="center" w:pos="4153"/>
        <w:tab w:val="right" w:pos="8306"/>
      </w:tabs>
      <w:snapToGrid w:val="0"/>
    </w:pPr>
    <w:rPr>
      <w:sz w:val="20"/>
      <w:szCs w:val="20"/>
    </w:rPr>
  </w:style>
  <w:style w:type="character" w:customStyle="1" w:styleId="a5">
    <w:name w:val="頁尾 字元"/>
    <w:basedOn w:val="a0"/>
    <w:link w:val="a4"/>
    <w:rsid w:val="00E2142F"/>
    <w:rPr>
      <w:rFonts w:ascii="Times New Roman" w:eastAsia="新細明體" w:hAnsi="Times New Roman" w:cs="Times New Roman"/>
      <w:sz w:val="20"/>
      <w:szCs w:val="20"/>
    </w:rPr>
  </w:style>
  <w:style w:type="character" w:styleId="a6">
    <w:name w:val="page number"/>
    <w:basedOn w:val="a0"/>
    <w:rsid w:val="00E2142F"/>
  </w:style>
  <w:style w:type="paragraph" w:styleId="a7">
    <w:name w:val="header"/>
    <w:basedOn w:val="a"/>
    <w:link w:val="a8"/>
    <w:uiPriority w:val="99"/>
    <w:unhideWhenUsed/>
    <w:rsid w:val="00DC01EF"/>
    <w:pPr>
      <w:tabs>
        <w:tab w:val="center" w:pos="4153"/>
        <w:tab w:val="right" w:pos="8306"/>
      </w:tabs>
      <w:snapToGrid w:val="0"/>
    </w:pPr>
    <w:rPr>
      <w:sz w:val="20"/>
      <w:szCs w:val="20"/>
    </w:rPr>
  </w:style>
  <w:style w:type="character" w:customStyle="1" w:styleId="a8">
    <w:name w:val="頁首 字元"/>
    <w:basedOn w:val="a0"/>
    <w:link w:val="a7"/>
    <w:uiPriority w:val="99"/>
    <w:rsid w:val="00DC01EF"/>
    <w:rPr>
      <w:rFonts w:ascii="Times New Roman" w:eastAsia="新細明體" w:hAnsi="Times New Roman" w:cs="Times New Roman"/>
      <w:sz w:val="20"/>
      <w:szCs w:val="20"/>
    </w:rPr>
  </w:style>
  <w:style w:type="paragraph" w:styleId="a9">
    <w:name w:val="List Paragraph"/>
    <w:basedOn w:val="a"/>
    <w:uiPriority w:val="34"/>
    <w:qFormat/>
    <w:rsid w:val="00F42AFB"/>
    <w:pPr>
      <w:ind w:leftChars="200" w:left="480"/>
    </w:pPr>
  </w:style>
  <w:style w:type="character" w:styleId="aa">
    <w:name w:val="Placeholder Text"/>
    <w:basedOn w:val="a0"/>
    <w:uiPriority w:val="99"/>
    <w:semiHidden/>
    <w:rsid w:val="00566889"/>
    <w:rPr>
      <w:color w:val="808080"/>
    </w:rPr>
  </w:style>
  <w:style w:type="paragraph" w:styleId="ab">
    <w:name w:val="Balloon Text"/>
    <w:basedOn w:val="a"/>
    <w:link w:val="ac"/>
    <w:uiPriority w:val="99"/>
    <w:semiHidden/>
    <w:unhideWhenUsed/>
    <w:rsid w:val="00566889"/>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566889"/>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430A"/>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E214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kern w:val="0"/>
      <w:sz w:val="20"/>
      <w:szCs w:val="20"/>
    </w:rPr>
  </w:style>
  <w:style w:type="character" w:customStyle="1" w:styleId="HTML0">
    <w:name w:val="HTML 預設格式 字元"/>
    <w:basedOn w:val="a0"/>
    <w:link w:val="HTML"/>
    <w:rsid w:val="00E2142F"/>
    <w:rPr>
      <w:rFonts w:ascii="細明體" w:eastAsia="細明體" w:hAnsi="Courier New" w:cs="Courier New"/>
      <w:kern w:val="0"/>
      <w:sz w:val="20"/>
      <w:szCs w:val="20"/>
    </w:rPr>
  </w:style>
  <w:style w:type="table" w:styleId="a3">
    <w:name w:val="Table Grid"/>
    <w:basedOn w:val="a1"/>
    <w:rsid w:val="00E2142F"/>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rsid w:val="00E2142F"/>
    <w:pPr>
      <w:tabs>
        <w:tab w:val="center" w:pos="4153"/>
        <w:tab w:val="right" w:pos="8306"/>
      </w:tabs>
      <w:snapToGrid w:val="0"/>
    </w:pPr>
    <w:rPr>
      <w:sz w:val="20"/>
      <w:szCs w:val="20"/>
    </w:rPr>
  </w:style>
  <w:style w:type="character" w:customStyle="1" w:styleId="a5">
    <w:name w:val="頁尾 字元"/>
    <w:basedOn w:val="a0"/>
    <w:link w:val="a4"/>
    <w:rsid w:val="00E2142F"/>
    <w:rPr>
      <w:rFonts w:ascii="Times New Roman" w:eastAsia="新細明體" w:hAnsi="Times New Roman" w:cs="Times New Roman"/>
      <w:sz w:val="20"/>
      <w:szCs w:val="20"/>
    </w:rPr>
  </w:style>
  <w:style w:type="character" w:styleId="a6">
    <w:name w:val="page number"/>
    <w:basedOn w:val="a0"/>
    <w:rsid w:val="00E2142F"/>
  </w:style>
  <w:style w:type="paragraph" w:styleId="a7">
    <w:name w:val="header"/>
    <w:basedOn w:val="a"/>
    <w:link w:val="a8"/>
    <w:uiPriority w:val="99"/>
    <w:unhideWhenUsed/>
    <w:rsid w:val="00DC01EF"/>
    <w:pPr>
      <w:tabs>
        <w:tab w:val="center" w:pos="4153"/>
        <w:tab w:val="right" w:pos="8306"/>
      </w:tabs>
      <w:snapToGrid w:val="0"/>
    </w:pPr>
    <w:rPr>
      <w:sz w:val="20"/>
      <w:szCs w:val="20"/>
    </w:rPr>
  </w:style>
  <w:style w:type="character" w:customStyle="1" w:styleId="a8">
    <w:name w:val="頁首 字元"/>
    <w:basedOn w:val="a0"/>
    <w:link w:val="a7"/>
    <w:uiPriority w:val="99"/>
    <w:rsid w:val="00DC01EF"/>
    <w:rPr>
      <w:rFonts w:ascii="Times New Roman" w:eastAsia="新細明體" w:hAnsi="Times New Roman" w:cs="Times New Roman"/>
      <w:sz w:val="20"/>
      <w:szCs w:val="20"/>
    </w:rPr>
  </w:style>
  <w:style w:type="paragraph" w:styleId="a9">
    <w:name w:val="List Paragraph"/>
    <w:basedOn w:val="a"/>
    <w:uiPriority w:val="34"/>
    <w:qFormat/>
    <w:rsid w:val="00F42AFB"/>
    <w:pPr>
      <w:ind w:leftChars="200" w:left="480"/>
    </w:pPr>
  </w:style>
  <w:style w:type="character" w:styleId="aa">
    <w:name w:val="Placeholder Text"/>
    <w:basedOn w:val="a0"/>
    <w:uiPriority w:val="99"/>
    <w:semiHidden/>
    <w:rsid w:val="00566889"/>
    <w:rPr>
      <w:color w:val="808080"/>
    </w:rPr>
  </w:style>
  <w:style w:type="paragraph" w:styleId="ab">
    <w:name w:val="Balloon Text"/>
    <w:basedOn w:val="a"/>
    <w:link w:val="ac"/>
    <w:uiPriority w:val="99"/>
    <w:semiHidden/>
    <w:unhideWhenUsed/>
    <w:rsid w:val="00566889"/>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56688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2984E-FA35-431B-BAD1-CED05A981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758</Words>
  <Characters>4325</Characters>
  <Application>Microsoft Office Word</Application>
  <DocSecurity>0</DocSecurity>
  <Lines>36</Lines>
  <Paragraphs>10</Paragraphs>
  <ScaleCrop>false</ScaleCrop>
  <Company/>
  <LinksUpToDate>false</LinksUpToDate>
  <CharactersWithSpaces>5073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何陽徵</dc:creator>
  <cp:lastModifiedBy>何陽徵</cp:lastModifiedBy>
  <cp:revision>5</cp:revision>
  <cp:lastPrinted>2016-09-14T02:00:00Z</cp:lastPrinted>
  <dcterms:created xsi:type="dcterms:W3CDTF">2016-09-13T05:31:00Z</dcterms:created>
  <dcterms:modified xsi:type="dcterms:W3CDTF">2016-09-14T02:32:00Z</dcterms:modified>
</cp:coreProperties>
</file>